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366EA3" w:rsidRPr="00CD3039" w14:paraId="393FB4D2" w14:textId="77777777" w:rsidTr="008463AD">
        <w:trPr>
          <w:trHeight w:val="737"/>
        </w:trPr>
        <w:tc>
          <w:tcPr>
            <w:tcW w:w="1247" w:type="dxa"/>
            <w:vAlign w:val="center"/>
          </w:tcPr>
          <w:p w14:paraId="09F1168E" w14:textId="77777777" w:rsidR="00366EA3" w:rsidRPr="00CD3039" w:rsidRDefault="00366EA3" w:rsidP="00B43FC9">
            <w:pPr>
              <w:jc w:val="center"/>
              <w:rPr>
                <w:rFonts w:ascii="Times New Roman" w:eastAsia="Times New Roman" w:hAnsi="Times New Roman" w:cs="Times New Roman"/>
                <w:sz w:val="24"/>
                <w:szCs w:val="24"/>
                <w:lang w:val="sr-Cyrl-RS"/>
              </w:rPr>
            </w:pPr>
            <w:r w:rsidRPr="00CD3039">
              <w:rPr>
                <w:rFonts w:ascii="Times New Roman" w:eastAsia="Times New Roman" w:hAnsi="Times New Roman" w:cs="Times New Roman"/>
                <w:noProof/>
                <w:sz w:val="24"/>
                <w:szCs w:val="24"/>
                <w:lang w:val="en-US"/>
              </w:rPr>
              <w:drawing>
                <wp:inline distT="0" distB="0" distL="0" distR="0" wp14:anchorId="1DA50BFF" wp14:editId="5FCA0549">
                  <wp:extent cx="4095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8391" w:type="dxa"/>
            <w:vAlign w:val="center"/>
          </w:tcPr>
          <w:p w14:paraId="00FB06C7" w14:textId="77777777" w:rsidR="00366EA3" w:rsidRPr="00CD3039" w:rsidRDefault="00C12D67" w:rsidP="00B43FC9">
            <w:pPr>
              <w:jc w:val="center"/>
              <w:rPr>
                <w:rFonts w:ascii="Arial Black" w:eastAsia="Times New Roman" w:hAnsi="Arial Black" w:cs="Times New Roman"/>
                <w:sz w:val="26"/>
                <w:szCs w:val="26"/>
                <w:lang w:val="sr-Cyrl-RS"/>
              </w:rPr>
            </w:pPr>
            <w:r w:rsidRPr="00CD3039">
              <w:rPr>
                <w:rFonts w:ascii="Arial Black" w:eastAsia="Times New Roman" w:hAnsi="Arial Black" w:cs="Times New Roman"/>
                <w:sz w:val="26"/>
                <w:szCs w:val="26"/>
                <w:lang w:val="sr-Cyrl-RS"/>
              </w:rPr>
              <w:t>Зборник</w:t>
            </w:r>
            <w:r w:rsidR="00366EA3" w:rsidRPr="00CD3039">
              <w:rPr>
                <w:rFonts w:ascii="Arial Black" w:eastAsia="Times New Roman" w:hAnsi="Arial Black" w:cs="Times New Roman"/>
                <w:sz w:val="26"/>
                <w:szCs w:val="26"/>
                <w:lang w:val="sr-Cyrl-RS"/>
              </w:rPr>
              <w:t xml:space="preserve"> </w:t>
            </w:r>
            <w:r w:rsidRPr="00CD3039">
              <w:rPr>
                <w:rFonts w:ascii="Arial Black" w:eastAsia="Times New Roman" w:hAnsi="Arial Black" w:cs="Times New Roman"/>
                <w:sz w:val="26"/>
                <w:szCs w:val="26"/>
                <w:lang w:val="sr-Cyrl-RS"/>
              </w:rPr>
              <w:t>радова</w:t>
            </w:r>
            <w:r w:rsidR="00366EA3" w:rsidRPr="00CD3039">
              <w:rPr>
                <w:rFonts w:ascii="Arial Black" w:eastAsia="Times New Roman" w:hAnsi="Arial Black" w:cs="Times New Roman"/>
                <w:sz w:val="26"/>
                <w:szCs w:val="26"/>
                <w:lang w:val="sr-Cyrl-RS"/>
              </w:rPr>
              <w:t xml:space="preserve"> </w:t>
            </w:r>
            <w:r w:rsidRPr="00CD3039">
              <w:rPr>
                <w:rFonts w:ascii="Arial Black" w:eastAsia="Times New Roman" w:hAnsi="Arial Black" w:cs="Times New Roman"/>
                <w:sz w:val="26"/>
                <w:szCs w:val="26"/>
                <w:lang w:val="sr-Cyrl-RS"/>
              </w:rPr>
              <w:t>Факултета</w:t>
            </w:r>
            <w:r w:rsidR="00366EA3" w:rsidRPr="00CD3039">
              <w:rPr>
                <w:rFonts w:ascii="Arial Black" w:eastAsia="Times New Roman" w:hAnsi="Arial Black" w:cs="Times New Roman"/>
                <w:sz w:val="26"/>
                <w:szCs w:val="26"/>
                <w:lang w:val="sr-Cyrl-RS"/>
              </w:rPr>
              <w:t xml:space="preserve"> </w:t>
            </w:r>
            <w:r w:rsidRPr="00CD3039">
              <w:rPr>
                <w:rFonts w:ascii="Arial Black" w:eastAsia="Times New Roman" w:hAnsi="Arial Black" w:cs="Times New Roman"/>
                <w:sz w:val="26"/>
                <w:szCs w:val="26"/>
                <w:lang w:val="sr-Cyrl-RS"/>
              </w:rPr>
              <w:t>техничких</w:t>
            </w:r>
            <w:r w:rsidR="00366EA3" w:rsidRPr="00CD3039">
              <w:rPr>
                <w:rFonts w:ascii="Arial Black" w:eastAsia="Times New Roman" w:hAnsi="Arial Black" w:cs="Times New Roman"/>
                <w:sz w:val="26"/>
                <w:szCs w:val="26"/>
                <w:lang w:val="sr-Cyrl-RS"/>
              </w:rPr>
              <w:t xml:space="preserve"> </w:t>
            </w:r>
            <w:r w:rsidRPr="00CD3039">
              <w:rPr>
                <w:rFonts w:ascii="Arial Black" w:eastAsia="Times New Roman" w:hAnsi="Arial Black" w:cs="Times New Roman"/>
                <w:sz w:val="26"/>
                <w:szCs w:val="26"/>
                <w:lang w:val="sr-Cyrl-RS"/>
              </w:rPr>
              <w:t>наука</w:t>
            </w:r>
            <w:r w:rsidR="00366EA3" w:rsidRPr="00CD3039">
              <w:rPr>
                <w:rFonts w:ascii="Arial Black" w:eastAsia="Times New Roman" w:hAnsi="Arial Black" w:cs="Times New Roman"/>
                <w:sz w:val="26"/>
                <w:szCs w:val="26"/>
                <w:lang w:val="sr-Cyrl-RS"/>
              </w:rPr>
              <w:t xml:space="preserve">, </w:t>
            </w:r>
            <w:r w:rsidRPr="00CD3039">
              <w:rPr>
                <w:rFonts w:ascii="Arial Black" w:eastAsia="Times New Roman" w:hAnsi="Arial Black" w:cs="Times New Roman"/>
                <w:sz w:val="26"/>
                <w:szCs w:val="26"/>
                <w:lang w:val="sr-Cyrl-RS"/>
              </w:rPr>
              <w:t>Нови</w:t>
            </w:r>
            <w:r w:rsidR="00366EA3" w:rsidRPr="00CD3039">
              <w:rPr>
                <w:rFonts w:ascii="Arial Black" w:eastAsia="Times New Roman" w:hAnsi="Arial Black" w:cs="Times New Roman"/>
                <w:sz w:val="26"/>
                <w:szCs w:val="26"/>
                <w:lang w:val="sr-Cyrl-RS"/>
              </w:rPr>
              <w:t xml:space="preserve"> </w:t>
            </w:r>
            <w:r w:rsidRPr="00CD3039">
              <w:rPr>
                <w:rFonts w:ascii="Arial Black" w:eastAsia="Times New Roman" w:hAnsi="Arial Black" w:cs="Times New Roman"/>
                <w:sz w:val="26"/>
                <w:szCs w:val="26"/>
                <w:lang w:val="sr-Cyrl-RS"/>
              </w:rPr>
              <w:t>Сад</w:t>
            </w:r>
          </w:p>
        </w:tc>
      </w:tr>
    </w:tbl>
    <w:p w14:paraId="5C089C6D" w14:textId="533588F2" w:rsidR="00366EA3" w:rsidRPr="00B43FC9" w:rsidRDefault="00366EA3" w:rsidP="00B43FC9">
      <w:pPr>
        <w:jc w:val="right"/>
        <w:rPr>
          <w:rFonts w:ascii="Times New Roman" w:eastAsia="Times New Roman" w:hAnsi="Times New Roman" w:cs="Times New Roman"/>
          <w:b/>
          <w:szCs w:val="24"/>
          <w:lang w:val="sr-Latn-RS"/>
        </w:rPr>
      </w:pPr>
      <w:r w:rsidRPr="00CD3039">
        <w:rPr>
          <w:rFonts w:ascii="Times New Roman" w:eastAsia="Times New Roman" w:hAnsi="Times New Roman" w:cs="Times New Roman"/>
          <w:b/>
          <w:szCs w:val="24"/>
          <w:lang w:val="sr-Cyrl-RS"/>
        </w:rPr>
        <w:t>UDK</w:t>
      </w:r>
      <w:r w:rsidR="00245755" w:rsidRPr="00CD3039">
        <w:rPr>
          <w:rFonts w:ascii="Times New Roman" w:eastAsia="Times New Roman" w:hAnsi="Times New Roman" w:cs="Times New Roman"/>
          <w:b/>
          <w:szCs w:val="24"/>
          <w:lang w:val="sr-Cyrl-RS"/>
        </w:rPr>
        <w:t>:</w:t>
      </w:r>
      <w:r w:rsidRPr="00CD3039">
        <w:rPr>
          <w:rFonts w:ascii="Times New Roman" w:eastAsia="Times New Roman" w:hAnsi="Times New Roman" w:cs="Times New Roman"/>
          <w:b/>
          <w:szCs w:val="24"/>
          <w:lang w:val="sr-Cyrl-RS"/>
        </w:rPr>
        <w:t xml:space="preserve"> </w:t>
      </w:r>
      <w:r w:rsidR="00BB52DC">
        <w:rPr>
          <w:rFonts w:ascii="Times New Roman" w:eastAsia="Times New Roman" w:hAnsi="Times New Roman" w:cs="Times New Roman"/>
          <w:b/>
          <w:szCs w:val="24"/>
          <w:lang w:val="sr-Latn-RS"/>
        </w:rPr>
        <w:t>681.5</w:t>
      </w:r>
    </w:p>
    <w:p w14:paraId="5165F97B" w14:textId="6734718B" w:rsidR="000C7C19" w:rsidRPr="00CD3039" w:rsidRDefault="000C7C19" w:rsidP="00B43FC9">
      <w:pPr>
        <w:jc w:val="right"/>
        <w:rPr>
          <w:rFonts w:ascii="Times New Roman" w:eastAsia="Times New Roman" w:hAnsi="Times New Roman" w:cs="Times New Roman"/>
          <w:b/>
          <w:szCs w:val="24"/>
          <w:lang w:val="sr-Cyrl-RS"/>
        </w:rPr>
      </w:pPr>
      <w:r w:rsidRPr="00CD3039">
        <w:rPr>
          <w:rFonts w:ascii="Times New Roman" w:eastAsia="Times New Roman" w:hAnsi="Times New Roman" w:cs="Times New Roman"/>
          <w:b/>
          <w:szCs w:val="24"/>
          <w:lang w:val="sr-Cyrl-RS"/>
        </w:rPr>
        <w:t>DOI:</w:t>
      </w:r>
      <w:r w:rsidR="00245755" w:rsidRPr="00CD3039">
        <w:rPr>
          <w:rFonts w:ascii="Times New Roman" w:eastAsia="Times New Roman" w:hAnsi="Times New Roman" w:cs="Times New Roman"/>
          <w:b/>
          <w:szCs w:val="24"/>
          <w:lang w:val="sr-Cyrl-RS"/>
        </w:rPr>
        <w:t xml:space="preserve"> </w:t>
      </w:r>
      <w:hyperlink r:id="rId10" w:history="1">
        <w:r w:rsidR="00BB52DC" w:rsidRPr="00BB52DC">
          <w:rPr>
            <w:rStyle w:val="Hyperlink"/>
            <w:rFonts w:ascii="Times New Roman" w:eastAsia="Times New Roman" w:hAnsi="Times New Roman" w:cs="Times New Roman"/>
            <w:b/>
            <w:szCs w:val="24"/>
            <w:lang w:val="sr-Latn-RS"/>
          </w:rPr>
          <w:t>https://doi.org/10.24867/11BE27Arsenovic</w:t>
        </w:r>
      </w:hyperlink>
    </w:p>
    <w:p w14:paraId="5020D580" w14:textId="77777777" w:rsidR="00366EA3" w:rsidRPr="00CD3039" w:rsidRDefault="00366EA3" w:rsidP="00B43FC9">
      <w:pPr>
        <w:jc w:val="center"/>
        <w:rPr>
          <w:rFonts w:ascii="Times New Roman" w:eastAsia="Times New Roman" w:hAnsi="Times New Roman" w:cs="Times New Roman"/>
          <w:sz w:val="12"/>
          <w:szCs w:val="24"/>
          <w:lang w:val="sr-Cyrl-RS"/>
        </w:rPr>
      </w:pPr>
    </w:p>
    <w:p w14:paraId="16AB65F8" w14:textId="77777777" w:rsidR="00366EA3" w:rsidRPr="00CD3039" w:rsidRDefault="00C12D67" w:rsidP="00B43FC9">
      <w:pPr>
        <w:jc w:val="center"/>
        <w:rPr>
          <w:rFonts w:ascii="Times New Roman" w:eastAsia="Times New Roman" w:hAnsi="Times New Roman" w:cs="Times New Roman"/>
          <w:b/>
          <w:iCs/>
          <w:sz w:val="24"/>
          <w:szCs w:val="24"/>
          <w:lang w:val="sr-Cyrl-RS"/>
        </w:rPr>
      </w:pPr>
      <w:r w:rsidRPr="00CD3039">
        <w:rPr>
          <w:rFonts w:ascii="Times New Roman" w:eastAsia="Times New Roman" w:hAnsi="Times New Roman" w:cs="Times New Roman"/>
          <w:b/>
          <w:iCs/>
          <w:sz w:val="24"/>
          <w:szCs w:val="24"/>
          <w:lang w:val="sr-Cyrl-RS"/>
        </w:rPr>
        <w:t>ПРЕДИКЦИЈА ОСПОСОБЉЕНОСТИ ЗА ХОД НАКОН АМПУТАЦИЈЕ ДОЊИХ ЕКСТРЕМИТЕТА УЗ ОСЛОНАЦ НА АЛГОРИТМЕ ВЕШТАЧКЕ ИНТЕЛИГЕНЦИЈЕ</w:t>
      </w:r>
    </w:p>
    <w:p w14:paraId="4873A619" w14:textId="77777777" w:rsidR="00C12D67" w:rsidRPr="00CD3039" w:rsidRDefault="00C12D67" w:rsidP="00B43FC9">
      <w:pPr>
        <w:jc w:val="center"/>
        <w:rPr>
          <w:rFonts w:ascii="Times New Roman" w:eastAsia="Times New Roman" w:hAnsi="Times New Roman" w:cs="Times New Roman"/>
          <w:iCs/>
          <w:sz w:val="12"/>
          <w:szCs w:val="24"/>
          <w:lang w:val="sr-Cyrl-RS"/>
        </w:rPr>
      </w:pPr>
    </w:p>
    <w:p w14:paraId="17B7E01B" w14:textId="77777777" w:rsidR="00E41321" w:rsidRPr="00CD3039" w:rsidRDefault="00E41321" w:rsidP="00B43FC9">
      <w:pPr>
        <w:jc w:val="center"/>
        <w:rPr>
          <w:rFonts w:ascii="Times New Roman" w:eastAsia="Times New Roman" w:hAnsi="Times New Roman" w:cs="Times New Roman"/>
          <w:b/>
          <w:iCs/>
          <w:sz w:val="24"/>
          <w:szCs w:val="24"/>
          <w:lang w:val="sr-Cyrl-RS"/>
        </w:rPr>
      </w:pPr>
      <w:r w:rsidRPr="00CD3039">
        <w:rPr>
          <w:rFonts w:ascii="Times New Roman" w:eastAsia="Times New Roman" w:hAnsi="Times New Roman" w:cs="Times New Roman"/>
          <w:b/>
          <w:iCs/>
          <w:sz w:val="24"/>
          <w:szCs w:val="24"/>
          <w:lang w:val="sr-Cyrl-RS"/>
        </w:rPr>
        <w:t>PREDICTION OF WALKING ABILITY WITH A PROSTHESIS IN LOWER LIMB AMPUTEES BY USING ARTIFICIAL INTELLIGENCE ALGORITHMS</w:t>
      </w:r>
    </w:p>
    <w:p w14:paraId="041D292E" w14:textId="77777777" w:rsidR="00D451BF" w:rsidRPr="00CD3039" w:rsidRDefault="00D451BF" w:rsidP="00B43FC9">
      <w:pPr>
        <w:jc w:val="center"/>
        <w:rPr>
          <w:rFonts w:ascii="Times New Roman" w:eastAsia="Times New Roman" w:hAnsi="Times New Roman" w:cs="Times New Roman"/>
          <w:b/>
          <w:iCs/>
          <w:sz w:val="12"/>
          <w:szCs w:val="24"/>
          <w:lang w:val="sr-Cyrl-RS"/>
        </w:rPr>
      </w:pPr>
    </w:p>
    <w:p w14:paraId="6DC1741E" w14:textId="77777777" w:rsidR="00366EA3" w:rsidRPr="00CD3039" w:rsidRDefault="00C12D67" w:rsidP="00B43FC9">
      <w:pPr>
        <w:jc w:val="center"/>
        <w:rPr>
          <w:rFonts w:ascii="Times New Roman" w:eastAsia="Times New Roman" w:hAnsi="Times New Roman" w:cs="Times New Roman"/>
          <w:i/>
          <w:iCs/>
          <w:sz w:val="24"/>
          <w:szCs w:val="24"/>
          <w:lang w:val="sr-Cyrl-RS"/>
        </w:rPr>
      </w:pPr>
      <w:r w:rsidRPr="00CD3039">
        <w:rPr>
          <w:rFonts w:ascii="Times New Roman" w:eastAsia="Times New Roman" w:hAnsi="Times New Roman" w:cs="Times New Roman"/>
          <w:iCs/>
          <w:sz w:val="24"/>
          <w:szCs w:val="24"/>
          <w:lang w:val="sr-Cyrl-RS"/>
        </w:rPr>
        <w:t>Јована</w:t>
      </w:r>
      <w:r w:rsidR="00366EA3" w:rsidRPr="00CD3039">
        <w:rPr>
          <w:rFonts w:ascii="Times New Roman" w:eastAsia="Times New Roman" w:hAnsi="Times New Roman" w:cs="Times New Roman"/>
          <w:iCs/>
          <w:sz w:val="24"/>
          <w:szCs w:val="24"/>
          <w:lang w:val="sr-Cyrl-RS"/>
        </w:rPr>
        <w:t xml:space="preserve"> </w:t>
      </w:r>
      <w:r w:rsidRPr="00CD3039">
        <w:rPr>
          <w:rFonts w:ascii="Times New Roman" w:eastAsia="Times New Roman" w:hAnsi="Times New Roman" w:cs="Times New Roman"/>
          <w:iCs/>
          <w:sz w:val="24"/>
          <w:szCs w:val="24"/>
          <w:lang w:val="sr-Cyrl-RS"/>
        </w:rPr>
        <w:t>Арсеновић</w:t>
      </w:r>
      <w:r w:rsidR="00366EA3" w:rsidRPr="00CD3039">
        <w:rPr>
          <w:rFonts w:ascii="Times New Roman" w:eastAsia="Times New Roman" w:hAnsi="Times New Roman" w:cs="Times New Roman"/>
          <w:iCs/>
          <w:sz w:val="24"/>
          <w:szCs w:val="24"/>
          <w:lang w:val="sr-Cyrl-RS"/>
        </w:rPr>
        <w:t xml:space="preserve">, </w:t>
      </w:r>
      <w:r w:rsidRPr="00CD3039">
        <w:rPr>
          <w:rFonts w:ascii="Times New Roman" w:eastAsia="Times New Roman" w:hAnsi="Times New Roman" w:cs="Times New Roman"/>
          <w:i/>
          <w:iCs/>
          <w:sz w:val="24"/>
          <w:szCs w:val="24"/>
          <w:lang w:val="sr-Cyrl-RS"/>
        </w:rPr>
        <w:t>Факултет</w:t>
      </w:r>
      <w:r w:rsidR="00366EA3" w:rsidRPr="00CD3039">
        <w:rPr>
          <w:rFonts w:ascii="Times New Roman" w:eastAsia="Times New Roman" w:hAnsi="Times New Roman" w:cs="Times New Roman"/>
          <w:i/>
          <w:iCs/>
          <w:sz w:val="24"/>
          <w:szCs w:val="24"/>
          <w:lang w:val="sr-Cyrl-RS"/>
        </w:rPr>
        <w:t xml:space="preserve"> </w:t>
      </w:r>
      <w:r w:rsidRPr="00CD3039">
        <w:rPr>
          <w:rFonts w:ascii="Times New Roman" w:eastAsia="Times New Roman" w:hAnsi="Times New Roman" w:cs="Times New Roman"/>
          <w:i/>
          <w:iCs/>
          <w:sz w:val="24"/>
          <w:szCs w:val="24"/>
          <w:lang w:val="sr-Cyrl-RS"/>
        </w:rPr>
        <w:t>техничких</w:t>
      </w:r>
      <w:r w:rsidR="00366EA3" w:rsidRPr="00CD3039">
        <w:rPr>
          <w:rFonts w:ascii="Times New Roman" w:eastAsia="Times New Roman" w:hAnsi="Times New Roman" w:cs="Times New Roman"/>
          <w:i/>
          <w:iCs/>
          <w:sz w:val="24"/>
          <w:szCs w:val="24"/>
          <w:lang w:val="sr-Cyrl-RS"/>
        </w:rPr>
        <w:t xml:space="preserve"> </w:t>
      </w:r>
      <w:r w:rsidRPr="00CD3039">
        <w:rPr>
          <w:rFonts w:ascii="Times New Roman" w:eastAsia="Times New Roman" w:hAnsi="Times New Roman" w:cs="Times New Roman"/>
          <w:i/>
          <w:iCs/>
          <w:sz w:val="24"/>
          <w:szCs w:val="24"/>
          <w:lang w:val="sr-Cyrl-RS"/>
        </w:rPr>
        <w:t>наука</w:t>
      </w:r>
      <w:r w:rsidR="00366EA3" w:rsidRPr="00CD3039">
        <w:rPr>
          <w:rFonts w:ascii="Times New Roman" w:eastAsia="Times New Roman" w:hAnsi="Times New Roman" w:cs="Times New Roman"/>
          <w:i/>
          <w:iCs/>
          <w:sz w:val="24"/>
          <w:szCs w:val="24"/>
          <w:lang w:val="sr-Cyrl-RS"/>
        </w:rPr>
        <w:t xml:space="preserve">, </w:t>
      </w:r>
      <w:r w:rsidRPr="00CD3039">
        <w:rPr>
          <w:rFonts w:ascii="Times New Roman" w:eastAsia="Times New Roman" w:hAnsi="Times New Roman" w:cs="Times New Roman"/>
          <w:i/>
          <w:iCs/>
          <w:sz w:val="24"/>
          <w:szCs w:val="24"/>
          <w:lang w:val="sr-Cyrl-RS"/>
        </w:rPr>
        <w:t>Нови</w:t>
      </w:r>
      <w:r w:rsidR="00366EA3" w:rsidRPr="00CD3039">
        <w:rPr>
          <w:rFonts w:ascii="Times New Roman" w:eastAsia="Times New Roman" w:hAnsi="Times New Roman" w:cs="Times New Roman"/>
          <w:i/>
          <w:iCs/>
          <w:sz w:val="24"/>
          <w:szCs w:val="24"/>
          <w:lang w:val="sr-Cyrl-RS"/>
        </w:rPr>
        <w:t xml:space="preserve"> </w:t>
      </w:r>
      <w:r w:rsidRPr="00CD3039">
        <w:rPr>
          <w:rFonts w:ascii="Times New Roman" w:eastAsia="Times New Roman" w:hAnsi="Times New Roman" w:cs="Times New Roman"/>
          <w:i/>
          <w:iCs/>
          <w:sz w:val="24"/>
          <w:szCs w:val="24"/>
          <w:lang w:val="sr-Cyrl-RS"/>
        </w:rPr>
        <w:t>Сад</w:t>
      </w:r>
    </w:p>
    <w:p w14:paraId="31909BC2" w14:textId="77777777" w:rsidR="00366EA3" w:rsidRPr="00CD3039" w:rsidRDefault="00366EA3" w:rsidP="00B43FC9">
      <w:pPr>
        <w:rPr>
          <w:rFonts w:ascii="Times New Roman" w:eastAsia="Times New Roman" w:hAnsi="Times New Roman" w:cs="Times New Roman"/>
          <w:i/>
          <w:iCs/>
          <w:sz w:val="12"/>
          <w:szCs w:val="12"/>
          <w:lang w:val="sr-Cyrl-RS"/>
        </w:rPr>
      </w:pPr>
    </w:p>
    <w:p w14:paraId="13B43ADE" w14:textId="77777777" w:rsidR="00366EA3" w:rsidRPr="00CD3039" w:rsidRDefault="00366EA3" w:rsidP="00B43FC9">
      <w:pPr>
        <w:rPr>
          <w:rFonts w:ascii="Times New Roman" w:eastAsia="Times New Roman" w:hAnsi="Times New Roman" w:cs="Times New Roman"/>
          <w:iCs/>
          <w:sz w:val="12"/>
          <w:szCs w:val="12"/>
          <w:lang w:val="sr-Cyrl-RS"/>
        </w:rPr>
        <w:sectPr w:rsidR="00366EA3" w:rsidRPr="00CD3039" w:rsidSect="00871C13">
          <w:pgSz w:w="11906" w:h="16838"/>
          <w:pgMar w:top="1134" w:right="1134" w:bottom="1134" w:left="1134" w:header="708" w:footer="708" w:gutter="0"/>
          <w:cols w:space="708"/>
          <w:docGrid w:linePitch="360"/>
        </w:sectPr>
      </w:pPr>
    </w:p>
    <w:p w14:paraId="044324E1" w14:textId="77777777" w:rsidR="00366EA3" w:rsidRPr="00CD3039" w:rsidRDefault="00C12D67" w:rsidP="00B43FC9">
      <w:pPr>
        <w:spacing w:after="120"/>
        <w:jc w:val="left"/>
        <w:rPr>
          <w:rFonts w:ascii="Times New Roman" w:eastAsia="Times New Roman" w:hAnsi="Times New Roman" w:cs="Times New Roman"/>
          <w:b/>
          <w:iCs/>
          <w:szCs w:val="20"/>
          <w:lang w:val="sr-Cyrl-RS"/>
        </w:rPr>
      </w:pPr>
      <w:r w:rsidRPr="00CD3039">
        <w:rPr>
          <w:rFonts w:ascii="Times New Roman" w:eastAsia="Times New Roman" w:hAnsi="Times New Roman" w:cs="Times New Roman"/>
          <w:b/>
          <w:iCs/>
          <w:szCs w:val="20"/>
          <w:lang w:val="sr-Cyrl-RS"/>
        </w:rPr>
        <w:lastRenderedPageBreak/>
        <w:t>Област</w:t>
      </w:r>
      <w:r w:rsidR="00366EA3" w:rsidRPr="00CD3039">
        <w:rPr>
          <w:rFonts w:ascii="Times New Roman" w:eastAsia="Times New Roman" w:hAnsi="Times New Roman" w:cs="Times New Roman"/>
          <w:b/>
          <w:iCs/>
          <w:szCs w:val="20"/>
          <w:lang w:val="sr-Cyrl-RS"/>
        </w:rPr>
        <w:t xml:space="preserve"> – </w:t>
      </w:r>
      <w:r w:rsidRPr="00CD3039">
        <w:rPr>
          <w:rFonts w:ascii="Times New Roman" w:eastAsia="Times New Roman" w:hAnsi="Times New Roman" w:cs="Times New Roman"/>
          <w:b/>
          <w:iCs/>
          <w:szCs w:val="20"/>
          <w:lang w:val="sr-Cyrl-RS"/>
        </w:rPr>
        <w:t>ЕЛЕКТРОТ</w:t>
      </w:r>
      <w:r w:rsidR="00D451BF" w:rsidRPr="00CD3039">
        <w:rPr>
          <w:rFonts w:ascii="Times New Roman" w:eastAsia="Times New Roman" w:hAnsi="Times New Roman" w:cs="Times New Roman"/>
          <w:b/>
          <w:iCs/>
          <w:szCs w:val="20"/>
          <w:lang w:val="sr-Cyrl-RS"/>
        </w:rPr>
        <w:t>E</w:t>
      </w:r>
      <w:r w:rsidRPr="00CD3039">
        <w:rPr>
          <w:rFonts w:ascii="Times New Roman" w:eastAsia="Times New Roman" w:hAnsi="Times New Roman" w:cs="Times New Roman"/>
          <w:b/>
          <w:iCs/>
          <w:szCs w:val="20"/>
          <w:lang w:val="sr-Cyrl-RS"/>
        </w:rPr>
        <w:t>ХНИКА И РАЧУНАРСТВО</w:t>
      </w:r>
      <w:r w:rsidR="00366EA3" w:rsidRPr="00CD3039">
        <w:rPr>
          <w:rFonts w:ascii="Times New Roman" w:eastAsia="Times New Roman" w:hAnsi="Times New Roman" w:cs="Times New Roman"/>
          <w:b/>
          <w:iCs/>
          <w:szCs w:val="20"/>
          <w:lang w:val="sr-Cyrl-RS"/>
        </w:rPr>
        <w:t xml:space="preserve"> </w:t>
      </w:r>
    </w:p>
    <w:p w14:paraId="1EEA7121" w14:textId="47CD812A" w:rsidR="00366EA3" w:rsidRPr="00CD3039" w:rsidRDefault="00C12D67" w:rsidP="00B43FC9">
      <w:pPr>
        <w:spacing w:before="60"/>
        <w:rPr>
          <w:rFonts w:ascii="Times New Roman" w:eastAsia="Times New Roman" w:hAnsi="Times New Roman" w:cs="Times New Roman"/>
          <w:i/>
          <w:iCs/>
          <w:szCs w:val="20"/>
          <w:lang w:val="sr-Cyrl-RS"/>
        </w:rPr>
      </w:pPr>
      <w:r w:rsidRPr="00CD3039">
        <w:rPr>
          <w:rFonts w:ascii="Times New Roman" w:eastAsia="Times New Roman" w:hAnsi="Times New Roman" w:cs="Times New Roman"/>
          <w:b/>
          <w:iCs/>
          <w:szCs w:val="20"/>
          <w:lang w:val="sr-Cyrl-RS"/>
        </w:rPr>
        <w:t>Кратак</w:t>
      </w:r>
      <w:r w:rsidR="00366EA3" w:rsidRPr="00CD3039">
        <w:rPr>
          <w:rFonts w:ascii="Times New Roman" w:eastAsia="Times New Roman" w:hAnsi="Times New Roman" w:cs="Times New Roman"/>
          <w:b/>
          <w:iCs/>
          <w:szCs w:val="20"/>
          <w:lang w:val="sr-Cyrl-RS"/>
        </w:rPr>
        <w:t xml:space="preserve"> </w:t>
      </w:r>
      <w:r w:rsidRPr="00CD3039">
        <w:rPr>
          <w:rFonts w:ascii="Times New Roman" w:eastAsia="Times New Roman" w:hAnsi="Times New Roman" w:cs="Times New Roman"/>
          <w:b/>
          <w:iCs/>
          <w:szCs w:val="20"/>
          <w:lang w:val="sr-Cyrl-RS"/>
        </w:rPr>
        <w:t>садржај</w:t>
      </w:r>
      <w:r w:rsidR="00366EA3" w:rsidRPr="00CD3039">
        <w:rPr>
          <w:rFonts w:ascii="Times New Roman" w:eastAsia="Times New Roman" w:hAnsi="Times New Roman" w:cs="Times New Roman"/>
          <w:b/>
          <w:iCs/>
          <w:szCs w:val="20"/>
          <w:lang w:val="sr-Cyrl-RS"/>
        </w:rPr>
        <w:t xml:space="preserve"> – </w:t>
      </w:r>
      <w:r w:rsidRPr="00CD3039">
        <w:rPr>
          <w:rFonts w:ascii="Times New Roman" w:eastAsia="Times New Roman" w:hAnsi="Times New Roman" w:cs="Times New Roman"/>
          <w:i/>
          <w:iCs/>
          <w:szCs w:val="20"/>
          <w:lang w:val="sr-Cyrl-RS"/>
        </w:rPr>
        <w:t>Тема овог рада је</w:t>
      </w:r>
      <w:r w:rsidR="00BB52DC">
        <w:rPr>
          <w:rFonts w:ascii="Times New Roman" w:eastAsia="Times New Roman" w:hAnsi="Times New Roman" w:cs="Times New Roman"/>
          <w:i/>
          <w:iCs/>
          <w:szCs w:val="20"/>
          <w:lang w:val="sr-Cyrl-RS"/>
        </w:rPr>
        <w:t>сте</w:t>
      </w:r>
      <w:r w:rsidRPr="00CD3039">
        <w:rPr>
          <w:rFonts w:ascii="Times New Roman" w:eastAsia="Times New Roman" w:hAnsi="Times New Roman" w:cs="Times New Roman"/>
          <w:i/>
          <w:iCs/>
          <w:szCs w:val="20"/>
          <w:lang w:val="sr-Cyrl-RS"/>
        </w:rPr>
        <w:t xml:space="preserve"> предикција оспособљености за ход уз помоћ протезе након ампу</w:t>
      </w:r>
      <w:r w:rsidR="00BB52DC">
        <w:rPr>
          <w:rFonts w:ascii="Times New Roman" w:eastAsia="Times New Roman" w:hAnsi="Times New Roman" w:cs="Times New Roman"/>
          <w:i/>
          <w:iCs/>
          <w:szCs w:val="20"/>
          <w:lang w:val="sr-Cyrl-RS"/>
        </w:rPr>
        <w:softHyphen/>
      </w:r>
      <w:r w:rsidRPr="00CD3039">
        <w:rPr>
          <w:rFonts w:ascii="Times New Roman" w:eastAsia="Times New Roman" w:hAnsi="Times New Roman" w:cs="Times New Roman"/>
          <w:i/>
          <w:iCs/>
          <w:szCs w:val="20"/>
          <w:lang w:val="sr-Cyrl-RS"/>
        </w:rPr>
        <w:t>тације доњих екстремитета, уз ослонац на алгорит</w:t>
      </w:r>
      <w:r w:rsidR="00BB52DC">
        <w:rPr>
          <w:rFonts w:ascii="Times New Roman" w:eastAsia="Times New Roman" w:hAnsi="Times New Roman" w:cs="Times New Roman"/>
          <w:i/>
          <w:iCs/>
          <w:szCs w:val="20"/>
          <w:lang w:val="sr-Cyrl-RS"/>
        </w:rPr>
        <w:softHyphen/>
      </w:r>
      <w:r w:rsidRPr="00CD3039">
        <w:rPr>
          <w:rFonts w:ascii="Times New Roman" w:eastAsia="Times New Roman" w:hAnsi="Times New Roman" w:cs="Times New Roman"/>
          <w:i/>
          <w:iCs/>
          <w:szCs w:val="20"/>
          <w:lang w:val="sr-Cyrl-RS"/>
        </w:rPr>
        <w:t>ме вештачке интелигенције. У оквиру рада имплемен</w:t>
      </w:r>
      <w:r w:rsidR="00BB52DC">
        <w:rPr>
          <w:rFonts w:ascii="Times New Roman" w:eastAsia="Times New Roman" w:hAnsi="Times New Roman" w:cs="Times New Roman"/>
          <w:i/>
          <w:iCs/>
          <w:szCs w:val="20"/>
          <w:lang w:val="sr-Cyrl-RS"/>
        </w:rPr>
        <w:softHyphen/>
      </w:r>
      <w:r w:rsidRPr="00CD3039">
        <w:rPr>
          <w:rFonts w:ascii="Times New Roman" w:eastAsia="Times New Roman" w:hAnsi="Times New Roman" w:cs="Times New Roman"/>
          <w:i/>
          <w:iCs/>
          <w:szCs w:val="20"/>
          <w:lang w:val="sr-Cyrl-RS"/>
        </w:rPr>
        <w:t>тиран је предиктивни модел функционалне оспособ</w:t>
      </w:r>
      <w:r w:rsidR="00BB52DC">
        <w:rPr>
          <w:rFonts w:ascii="Times New Roman" w:eastAsia="Times New Roman" w:hAnsi="Times New Roman" w:cs="Times New Roman"/>
          <w:i/>
          <w:iCs/>
          <w:szCs w:val="20"/>
          <w:lang w:val="sr-Cyrl-RS"/>
        </w:rPr>
        <w:softHyphen/>
      </w:r>
      <w:r w:rsidRPr="00CD3039">
        <w:rPr>
          <w:rFonts w:ascii="Times New Roman" w:eastAsia="Times New Roman" w:hAnsi="Times New Roman" w:cs="Times New Roman"/>
          <w:i/>
          <w:iCs/>
          <w:szCs w:val="20"/>
          <w:lang w:val="sr-Cyrl-RS"/>
        </w:rPr>
        <w:t>љености пацијента након рехабилитационог трет</w:t>
      </w:r>
      <w:r w:rsidR="00BB52DC">
        <w:rPr>
          <w:rFonts w:ascii="Times New Roman" w:eastAsia="Times New Roman" w:hAnsi="Times New Roman" w:cs="Times New Roman"/>
          <w:i/>
          <w:iCs/>
          <w:szCs w:val="20"/>
          <w:lang w:val="sr-Cyrl-RS"/>
        </w:rPr>
        <w:softHyphen/>
      </w:r>
      <w:r w:rsidRPr="00CD3039">
        <w:rPr>
          <w:rFonts w:ascii="Times New Roman" w:eastAsia="Times New Roman" w:hAnsi="Times New Roman" w:cs="Times New Roman"/>
          <w:i/>
          <w:iCs/>
          <w:szCs w:val="20"/>
          <w:lang w:val="sr-Cyrl-RS"/>
        </w:rPr>
        <w:t>мана применом SVM методом машинског учења. Тестирана су различита обележја, методом стабла одлуке, са циљем постизања што веће тачности модела</w:t>
      </w:r>
    </w:p>
    <w:p w14:paraId="2302CAF8" w14:textId="77777777" w:rsidR="000C7C19" w:rsidRPr="00CD3039" w:rsidRDefault="00C12D67" w:rsidP="00B43FC9">
      <w:pPr>
        <w:spacing w:before="60"/>
        <w:rPr>
          <w:rFonts w:ascii="Times New Roman" w:eastAsia="Times New Roman" w:hAnsi="Times New Roman" w:cs="Times New Roman"/>
          <w:i/>
          <w:iCs/>
          <w:szCs w:val="20"/>
          <w:lang w:val="sr-Cyrl-RS"/>
        </w:rPr>
      </w:pPr>
      <w:r w:rsidRPr="00CD3039">
        <w:rPr>
          <w:rFonts w:ascii="Times New Roman" w:eastAsia="Times New Roman" w:hAnsi="Times New Roman" w:cs="Times New Roman"/>
          <w:b/>
          <w:iCs/>
          <w:szCs w:val="20"/>
          <w:lang w:val="sr-Cyrl-RS"/>
        </w:rPr>
        <w:t>Кључне</w:t>
      </w:r>
      <w:r w:rsidR="000C7C19" w:rsidRPr="00CD3039">
        <w:rPr>
          <w:rFonts w:ascii="Times New Roman" w:eastAsia="Times New Roman" w:hAnsi="Times New Roman" w:cs="Times New Roman"/>
          <w:b/>
          <w:iCs/>
          <w:szCs w:val="20"/>
          <w:lang w:val="sr-Cyrl-RS"/>
        </w:rPr>
        <w:t xml:space="preserve"> </w:t>
      </w:r>
      <w:r w:rsidRPr="00CD3039">
        <w:rPr>
          <w:rFonts w:ascii="Times New Roman" w:eastAsia="Times New Roman" w:hAnsi="Times New Roman" w:cs="Times New Roman"/>
          <w:b/>
          <w:iCs/>
          <w:szCs w:val="20"/>
          <w:lang w:val="sr-Cyrl-RS"/>
        </w:rPr>
        <w:t>речи</w:t>
      </w:r>
      <w:r w:rsidR="000C7C19" w:rsidRPr="00CD3039">
        <w:rPr>
          <w:rFonts w:ascii="Times New Roman" w:eastAsia="Times New Roman" w:hAnsi="Times New Roman" w:cs="Times New Roman"/>
          <w:b/>
          <w:iCs/>
          <w:szCs w:val="20"/>
          <w:lang w:val="sr-Cyrl-RS"/>
        </w:rPr>
        <w:t>:</w:t>
      </w:r>
      <w:r w:rsidR="000C7C19" w:rsidRPr="00CD3039">
        <w:rPr>
          <w:rFonts w:ascii="Times New Roman" w:eastAsia="Times New Roman" w:hAnsi="Times New Roman" w:cs="Times New Roman"/>
          <w:i/>
          <w:iCs/>
          <w:szCs w:val="20"/>
          <w:lang w:val="sr-Cyrl-RS"/>
        </w:rPr>
        <w:t xml:space="preserve"> </w:t>
      </w:r>
      <w:r w:rsidR="00F00962" w:rsidRPr="00CD3039">
        <w:rPr>
          <w:rFonts w:ascii="Times New Roman" w:eastAsia="Times New Roman" w:hAnsi="Times New Roman" w:cs="Times New Roman"/>
          <w:i/>
          <w:iCs/>
          <w:szCs w:val="20"/>
          <w:lang w:val="sr-Cyrl-RS"/>
        </w:rPr>
        <w:t>предикција, SVM алгоритам, стабла одлуке, ампутација, рехабилитација</w:t>
      </w:r>
    </w:p>
    <w:p w14:paraId="3D31469D" w14:textId="41D8CA22" w:rsidR="00366EA3" w:rsidRPr="00CD3039" w:rsidRDefault="00366EA3" w:rsidP="00B43FC9">
      <w:pPr>
        <w:spacing w:before="60"/>
        <w:rPr>
          <w:rFonts w:ascii="Times New Roman" w:eastAsia="Times New Roman" w:hAnsi="Times New Roman" w:cs="Times New Roman"/>
          <w:i/>
          <w:iCs/>
          <w:szCs w:val="20"/>
          <w:lang w:val="sr-Cyrl-RS"/>
        </w:rPr>
      </w:pPr>
      <w:r w:rsidRPr="00CD3039">
        <w:rPr>
          <w:rFonts w:ascii="Times New Roman" w:eastAsia="Times New Roman" w:hAnsi="Times New Roman" w:cs="Times New Roman"/>
          <w:b/>
          <w:iCs/>
          <w:szCs w:val="20"/>
          <w:lang w:val="sr-Cyrl-RS"/>
        </w:rPr>
        <w:t>Abstract</w:t>
      </w:r>
      <w:r w:rsidRPr="00CD3039">
        <w:rPr>
          <w:rFonts w:ascii="Times New Roman" w:eastAsia="Times New Roman" w:hAnsi="Times New Roman" w:cs="Times New Roman"/>
          <w:iCs/>
          <w:szCs w:val="20"/>
          <w:lang w:val="sr-Cyrl-RS"/>
        </w:rPr>
        <w:t xml:space="preserve"> – </w:t>
      </w:r>
      <w:r w:rsidR="00F00962" w:rsidRPr="00CD3039">
        <w:rPr>
          <w:rFonts w:ascii="Times New Roman" w:eastAsia="Times New Roman" w:hAnsi="Times New Roman" w:cs="Times New Roman"/>
          <w:i/>
          <w:iCs/>
          <w:szCs w:val="20"/>
          <w:lang w:val="sr-Cyrl-RS"/>
        </w:rPr>
        <w:t>The topic of this paper is prediction of ability to walk with prosthesis after lower limb amputation, based on artificial intelligence algorithms. The paper describes the implementation of a predictive model for amputees walking ability after prosthetic rehabilitation treatment using SVM method. Different features are tested by decision tree method, in order to maximize model accur</w:t>
      </w:r>
      <w:r w:rsidR="000F1E5C">
        <w:rPr>
          <w:rFonts w:ascii="Times New Roman" w:eastAsia="Times New Roman" w:hAnsi="Times New Roman" w:cs="Times New Roman"/>
          <w:i/>
          <w:iCs/>
          <w:szCs w:val="20"/>
          <w:lang w:val="sr-Cyrl-RS"/>
        </w:rPr>
        <w:t>а</w:t>
      </w:r>
      <w:r w:rsidR="00F00962" w:rsidRPr="00CD3039">
        <w:rPr>
          <w:rFonts w:ascii="Times New Roman" w:eastAsia="Times New Roman" w:hAnsi="Times New Roman" w:cs="Times New Roman"/>
          <w:i/>
          <w:iCs/>
          <w:szCs w:val="20"/>
          <w:lang w:val="sr-Cyrl-RS"/>
        </w:rPr>
        <w:t>cy.</w:t>
      </w:r>
    </w:p>
    <w:p w14:paraId="266EC98E" w14:textId="77777777" w:rsidR="00366EA3" w:rsidRPr="00CD3039" w:rsidRDefault="000C7C19" w:rsidP="00B43FC9">
      <w:pPr>
        <w:spacing w:before="60"/>
        <w:rPr>
          <w:rFonts w:ascii="Times New Roman" w:eastAsia="Times New Roman" w:hAnsi="Times New Roman" w:cs="Times New Roman"/>
          <w:i/>
          <w:iCs/>
          <w:szCs w:val="20"/>
          <w:lang w:val="sr-Cyrl-RS"/>
        </w:rPr>
      </w:pPr>
      <w:r w:rsidRPr="00CD3039">
        <w:rPr>
          <w:rFonts w:ascii="Times New Roman" w:eastAsia="Times New Roman" w:hAnsi="Times New Roman" w:cs="Times New Roman"/>
          <w:b/>
          <w:iCs/>
          <w:szCs w:val="20"/>
          <w:lang w:val="sr-Cyrl-RS"/>
        </w:rPr>
        <w:t>Keywords</w:t>
      </w:r>
      <w:r w:rsidR="00366EA3" w:rsidRPr="00CD3039">
        <w:rPr>
          <w:rFonts w:ascii="Times New Roman" w:eastAsia="Times New Roman" w:hAnsi="Times New Roman" w:cs="Times New Roman"/>
          <w:b/>
          <w:iCs/>
          <w:szCs w:val="20"/>
          <w:lang w:val="sr-Cyrl-RS"/>
        </w:rPr>
        <w:t>:</w:t>
      </w:r>
      <w:r w:rsidR="00366EA3" w:rsidRPr="00CD3039">
        <w:rPr>
          <w:rFonts w:ascii="Times New Roman" w:eastAsia="Times New Roman" w:hAnsi="Times New Roman" w:cs="Times New Roman"/>
          <w:i/>
          <w:iCs/>
          <w:szCs w:val="20"/>
          <w:lang w:val="sr-Cyrl-RS"/>
        </w:rPr>
        <w:t xml:space="preserve"> </w:t>
      </w:r>
      <w:r w:rsidR="00F00962" w:rsidRPr="00CD3039">
        <w:rPr>
          <w:rFonts w:ascii="Times New Roman" w:eastAsia="Times New Roman" w:hAnsi="Times New Roman" w:cs="Times New Roman"/>
          <w:i/>
          <w:iCs/>
          <w:szCs w:val="20"/>
          <w:lang w:val="sr-Cyrl-RS"/>
        </w:rPr>
        <w:t>prediction, SVM algorithm, decision tree, amputation, rehabilitation</w:t>
      </w:r>
    </w:p>
    <w:p w14:paraId="0337223C" w14:textId="77777777" w:rsidR="001F58A6" w:rsidRPr="00CD3039" w:rsidRDefault="001F58A6" w:rsidP="00B43FC9">
      <w:pPr>
        <w:rPr>
          <w:rFonts w:ascii="Times New Roman" w:eastAsia="Times New Roman" w:hAnsi="Times New Roman" w:cs="Times New Roman"/>
          <w:b/>
          <w:iCs/>
          <w:szCs w:val="20"/>
          <w:lang w:val="sr-Cyrl-RS"/>
        </w:rPr>
      </w:pPr>
    </w:p>
    <w:p w14:paraId="7528FC82" w14:textId="77777777" w:rsidR="00366EA3" w:rsidRPr="00CD3039" w:rsidRDefault="00366EA3" w:rsidP="00B43FC9">
      <w:pPr>
        <w:rPr>
          <w:rFonts w:ascii="Times New Roman" w:eastAsia="Times New Roman" w:hAnsi="Times New Roman" w:cs="Times New Roman"/>
          <w:b/>
          <w:iCs/>
          <w:szCs w:val="20"/>
          <w:lang w:val="sr-Cyrl-RS"/>
        </w:rPr>
      </w:pPr>
      <w:r w:rsidRPr="00CD3039">
        <w:rPr>
          <w:rFonts w:ascii="Times New Roman" w:eastAsia="Times New Roman" w:hAnsi="Times New Roman" w:cs="Times New Roman"/>
          <w:b/>
          <w:iCs/>
          <w:szCs w:val="20"/>
          <w:lang w:val="sr-Cyrl-RS"/>
        </w:rPr>
        <w:t xml:space="preserve">1. </w:t>
      </w:r>
      <w:r w:rsidR="00F00962" w:rsidRPr="00CD3039">
        <w:rPr>
          <w:rFonts w:ascii="Times New Roman" w:eastAsia="Times New Roman" w:hAnsi="Times New Roman" w:cs="Times New Roman"/>
          <w:b/>
          <w:iCs/>
          <w:szCs w:val="20"/>
          <w:lang w:val="sr-Cyrl-RS"/>
        </w:rPr>
        <w:t>УВОД</w:t>
      </w:r>
    </w:p>
    <w:p w14:paraId="406C0795" w14:textId="30A004D2" w:rsidR="00F00962" w:rsidRPr="00CD3039" w:rsidRDefault="00F00962" w:rsidP="00B43FC9">
      <w:pPr>
        <w:spacing w:before="120"/>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Ампутација доњих екстремитета је хируршки процес који се спроводи ради уклањања исхемичног, инфицираног, некротичког ткива или локалног тумора када није могућа ресекција [1]. У свету се на сваких 30 секунди изврши ампутација ноге, процена је Светске здравствене организације и Међународне дијабетолошке федерације, док се према подацима Клиничког центра Војводине [1] у овој установи, у просеку годишње ураде 124 ампутације ноге изнад нивоа скочног зглоба.</w:t>
      </w:r>
      <w:r w:rsidR="00B43FC9">
        <w:rPr>
          <w:rFonts w:ascii="Times New Roman" w:eastAsia="Times New Roman" w:hAnsi="Times New Roman" w:cs="Times New Roman"/>
          <w:iCs/>
          <w:szCs w:val="20"/>
          <w:lang w:val="sr-Latn-RS"/>
        </w:rPr>
        <w:t xml:space="preserve"> </w:t>
      </w:r>
      <w:r w:rsidRPr="00CD3039">
        <w:rPr>
          <w:rFonts w:ascii="Times New Roman" w:eastAsia="Times New Roman" w:hAnsi="Times New Roman" w:cs="Times New Roman"/>
          <w:iCs/>
          <w:szCs w:val="20"/>
          <w:lang w:val="sr-Cyrl-RS"/>
        </w:rPr>
        <w:t>Како кретање представља основну потребу човека, а ход примарни начин кретања људи, главни циљ рехабилитационог процеса је</w:t>
      </w:r>
      <w:r w:rsidR="000F1E5C">
        <w:rPr>
          <w:rFonts w:ascii="Times New Roman" w:eastAsia="Times New Roman" w:hAnsi="Times New Roman" w:cs="Times New Roman"/>
          <w:iCs/>
          <w:szCs w:val="20"/>
          <w:lang w:val="sr-Cyrl-RS"/>
        </w:rPr>
        <w:t>сте</w:t>
      </w:r>
      <w:r w:rsidRPr="00CD3039">
        <w:rPr>
          <w:rFonts w:ascii="Times New Roman" w:eastAsia="Times New Roman" w:hAnsi="Times New Roman" w:cs="Times New Roman"/>
          <w:iCs/>
          <w:szCs w:val="20"/>
          <w:lang w:val="sr-Cyrl-RS"/>
        </w:rPr>
        <w:t xml:space="preserve"> поновно успостављање ове функције. Протетич</w:t>
      </w:r>
      <w:r w:rsidR="000F1E5C">
        <w:rPr>
          <w:rFonts w:ascii="Times New Roman" w:eastAsia="Times New Roman" w:hAnsi="Times New Roman" w:cs="Times New Roman"/>
          <w:iCs/>
          <w:szCs w:val="20"/>
          <w:lang w:val="sr-Cyrl-RS"/>
        </w:rPr>
        <w:softHyphen/>
      </w:r>
      <w:r w:rsidRPr="00CD3039">
        <w:rPr>
          <w:rFonts w:ascii="Times New Roman" w:eastAsia="Times New Roman" w:hAnsi="Times New Roman" w:cs="Times New Roman"/>
          <w:iCs/>
          <w:szCs w:val="20"/>
          <w:lang w:val="sr-Cyrl-RS"/>
        </w:rPr>
        <w:t>ка рехабилитација пружа велики потенцијал за по</w:t>
      </w:r>
      <w:r w:rsidR="000F1E5C">
        <w:rPr>
          <w:rFonts w:ascii="Times New Roman" w:eastAsia="Times New Roman" w:hAnsi="Times New Roman" w:cs="Times New Roman"/>
          <w:iCs/>
          <w:szCs w:val="20"/>
          <w:lang w:val="sr-Cyrl-RS"/>
        </w:rPr>
        <w:softHyphen/>
      </w:r>
      <w:r w:rsidRPr="00CD3039">
        <w:rPr>
          <w:rFonts w:ascii="Times New Roman" w:eastAsia="Times New Roman" w:hAnsi="Times New Roman" w:cs="Times New Roman"/>
          <w:iCs/>
          <w:szCs w:val="20"/>
          <w:lang w:val="sr-Cyrl-RS"/>
        </w:rPr>
        <w:t>бољ</w:t>
      </w:r>
      <w:r w:rsidR="000F1E5C">
        <w:rPr>
          <w:rFonts w:ascii="Times New Roman" w:eastAsia="Times New Roman" w:hAnsi="Times New Roman" w:cs="Times New Roman"/>
          <w:iCs/>
          <w:szCs w:val="20"/>
          <w:lang w:val="sr-Cyrl-RS"/>
        </w:rPr>
        <w:softHyphen/>
      </w:r>
      <w:r w:rsidRPr="00CD3039">
        <w:rPr>
          <w:rFonts w:ascii="Times New Roman" w:eastAsia="Times New Roman" w:hAnsi="Times New Roman" w:cs="Times New Roman"/>
          <w:iCs/>
          <w:szCs w:val="20"/>
          <w:lang w:val="sr-Cyrl-RS"/>
        </w:rPr>
        <w:t>шање свеобухватног стања и квалитета живота особа</w:t>
      </w:r>
      <w:r w:rsidR="000F1E5C">
        <w:rPr>
          <w:rFonts w:ascii="Times New Roman" w:eastAsia="Times New Roman" w:hAnsi="Times New Roman" w:cs="Times New Roman"/>
          <w:iCs/>
          <w:szCs w:val="20"/>
          <w:lang w:val="sr-Cyrl-RS"/>
        </w:rPr>
        <w:t xml:space="preserve"> </w:t>
      </w:r>
      <w:r w:rsidRPr="00CD3039">
        <w:rPr>
          <w:rFonts w:ascii="Times New Roman" w:eastAsia="Times New Roman" w:hAnsi="Times New Roman" w:cs="Times New Roman"/>
          <w:iCs/>
          <w:szCs w:val="20"/>
          <w:lang w:val="sr-Cyrl-RS"/>
        </w:rPr>
        <w:t>са ампутацијом.</w:t>
      </w:r>
    </w:p>
    <w:p w14:paraId="0B6BAF61" w14:textId="35E2837E" w:rsidR="00F00962" w:rsidRPr="00CD3039" w:rsidRDefault="00F00962" w:rsidP="00B43FC9">
      <w:pPr>
        <w:spacing w:before="120"/>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 xml:space="preserve">Протезе за доње </w:t>
      </w:r>
      <w:r w:rsidR="00CD3039" w:rsidRPr="00CD3039">
        <w:rPr>
          <w:rFonts w:ascii="Times New Roman" w:eastAsia="Times New Roman" w:hAnsi="Times New Roman" w:cs="Times New Roman"/>
          <w:iCs/>
          <w:szCs w:val="20"/>
          <w:lang w:val="sr-Cyrl-RS"/>
        </w:rPr>
        <w:t>екстремитете</w:t>
      </w:r>
      <w:r w:rsidRPr="00CD3039">
        <w:rPr>
          <w:rFonts w:ascii="Times New Roman" w:eastAsia="Times New Roman" w:hAnsi="Times New Roman" w:cs="Times New Roman"/>
          <w:iCs/>
          <w:szCs w:val="20"/>
          <w:lang w:val="sr-Cyrl-RS"/>
        </w:rPr>
        <w:t>, које би надоместиле физичкинедоста</w:t>
      </w:r>
      <w:r w:rsidR="00D85D52" w:rsidRPr="00CD3039">
        <w:rPr>
          <w:rFonts w:ascii="Times New Roman" w:eastAsia="Times New Roman" w:hAnsi="Times New Roman" w:cs="Times New Roman"/>
          <w:iCs/>
          <w:szCs w:val="20"/>
          <w:lang w:val="sr-Cyrl-RS"/>
        </w:rPr>
        <w:t>так и омогућиле функционаланход</w:t>
      </w:r>
      <w:r w:rsidRPr="00CD3039">
        <w:rPr>
          <w:rFonts w:ascii="Times New Roman" w:eastAsia="Times New Roman" w:hAnsi="Times New Roman" w:cs="Times New Roman"/>
          <w:iCs/>
          <w:szCs w:val="20"/>
          <w:lang w:val="sr-Cyrl-RS"/>
        </w:rPr>
        <w:t xml:space="preserve">, </w:t>
      </w:r>
    </w:p>
    <w:p w14:paraId="3D33E452" w14:textId="77777777" w:rsidR="00A10B09" w:rsidRPr="00CD3039" w:rsidRDefault="00A10B09" w:rsidP="00B43FC9">
      <w:pPr>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______________________________________________</w:t>
      </w:r>
    </w:p>
    <w:p w14:paraId="0ACAED97" w14:textId="77777777" w:rsidR="00A10B09" w:rsidRPr="00CD3039" w:rsidRDefault="00F00962" w:rsidP="00B43FC9">
      <w:pPr>
        <w:rPr>
          <w:rFonts w:ascii="Times New Roman" w:eastAsia="Times New Roman" w:hAnsi="Times New Roman" w:cs="Times New Roman"/>
          <w:b/>
          <w:iCs/>
          <w:szCs w:val="20"/>
          <w:lang w:val="sr-Cyrl-RS"/>
        </w:rPr>
      </w:pPr>
      <w:r w:rsidRPr="00CD3039">
        <w:rPr>
          <w:rFonts w:ascii="Times New Roman" w:eastAsia="Times New Roman" w:hAnsi="Times New Roman" w:cs="Times New Roman"/>
          <w:b/>
          <w:iCs/>
          <w:szCs w:val="20"/>
          <w:lang w:val="sr-Cyrl-RS"/>
        </w:rPr>
        <w:t>НАПОМЕНА</w:t>
      </w:r>
      <w:r w:rsidR="00A10B09" w:rsidRPr="00CD3039">
        <w:rPr>
          <w:rFonts w:ascii="Times New Roman" w:eastAsia="Times New Roman" w:hAnsi="Times New Roman" w:cs="Times New Roman"/>
          <w:b/>
          <w:iCs/>
          <w:szCs w:val="20"/>
          <w:lang w:val="sr-Cyrl-RS"/>
        </w:rPr>
        <w:t xml:space="preserve">: </w:t>
      </w:r>
    </w:p>
    <w:p w14:paraId="26097E7E" w14:textId="77777777" w:rsidR="00A10B09" w:rsidRPr="00CD3039" w:rsidRDefault="00F00962" w:rsidP="00B43FC9">
      <w:pPr>
        <w:rPr>
          <w:rFonts w:ascii="Times New Roman" w:eastAsia="Times New Roman" w:hAnsi="Times New Roman" w:cs="Times New Roman"/>
          <w:b/>
          <w:iCs/>
          <w:szCs w:val="20"/>
          <w:lang w:val="sr-Cyrl-RS"/>
        </w:rPr>
      </w:pPr>
      <w:r w:rsidRPr="00CD3039">
        <w:rPr>
          <w:rFonts w:ascii="Times New Roman" w:eastAsia="Times New Roman" w:hAnsi="Times New Roman" w:cs="Times New Roman"/>
          <w:b/>
          <w:iCs/>
          <w:szCs w:val="20"/>
          <w:lang w:val="sr-Cyrl-RS"/>
        </w:rPr>
        <w:t>Овај</w:t>
      </w:r>
      <w:r w:rsidR="00A10B09" w:rsidRPr="00CD3039">
        <w:rPr>
          <w:rFonts w:ascii="Times New Roman" w:eastAsia="Times New Roman" w:hAnsi="Times New Roman" w:cs="Times New Roman"/>
          <w:b/>
          <w:iCs/>
          <w:szCs w:val="20"/>
          <w:lang w:val="sr-Cyrl-RS"/>
        </w:rPr>
        <w:t xml:space="preserve"> </w:t>
      </w:r>
      <w:r w:rsidRPr="00CD3039">
        <w:rPr>
          <w:rFonts w:ascii="Times New Roman" w:eastAsia="Times New Roman" w:hAnsi="Times New Roman" w:cs="Times New Roman"/>
          <w:b/>
          <w:iCs/>
          <w:szCs w:val="20"/>
          <w:lang w:val="sr-Cyrl-RS"/>
        </w:rPr>
        <w:t>рад</w:t>
      </w:r>
      <w:r w:rsidR="00A10B09" w:rsidRPr="00CD3039">
        <w:rPr>
          <w:rFonts w:ascii="Times New Roman" w:eastAsia="Times New Roman" w:hAnsi="Times New Roman" w:cs="Times New Roman"/>
          <w:b/>
          <w:iCs/>
          <w:szCs w:val="20"/>
          <w:lang w:val="sr-Cyrl-RS"/>
        </w:rPr>
        <w:t xml:space="preserve"> </w:t>
      </w:r>
      <w:r w:rsidRPr="00CD3039">
        <w:rPr>
          <w:rFonts w:ascii="Times New Roman" w:eastAsia="Times New Roman" w:hAnsi="Times New Roman" w:cs="Times New Roman"/>
          <w:b/>
          <w:iCs/>
          <w:szCs w:val="20"/>
          <w:lang w:val="sr-Cyrl-RS"/>
        </w:rPr>
        <w:t>проистекао</w:t>
      </w:r>
      <w:r w:rsidR="00A10B09" w:rsidRPr="00CD3039">
        <w:rPr>
          <w:rFonts w:ascii="Times New Roman" w:eastAsia="Times New Roman" w:hAnsi="Times New Roman" w:cs="Times New Roman"/>
          <w:b/>
          <w:iCs/>
          <w:szCs w:val="20"/>
          <w:lang w:val="sr-Cyrl-RS"/>
        </w:rPr>
        <w:t xml:space="preserve"> je </w:t>
      </w:r>
      <w:r w:rsidRPr="00CD3039">
        <w:rPr>
          <w:rFonts w:ascii="Times New Roman" w:eastAsia="Times New Roman" w:hAnsi="Times New Roman" w:cs="Times New Roman"/>
          <w:b/>
          <w:iCs/>
          <w:szCs w:val="20"/>
          <w:lang w:val="sr-Cyrl-RS"/>
        </w:rPr>
        <w:t>из</w:t>
      </w:r>
      <w:r w:rsidR="00A10B09" w:rsidRPr="00CD3039">
        <w:rPr>
          <w:rFonts w:ascii="Times New Roman" w:eastAsia="Times New Roman" w:hAnsi="Times New Roman" w:cs="Times New Roman"/>
          <w:b/>
          <w:iCs/>
          <w:szCs w:val="20"/>
          <w:lang w:val="sr-Cyrl-RS"/>
        </w:rPr>
        <w:t xml:space="preserve"> </w:t>
      </w:r>
      <w:r w:rsidRPr="00CD3039">
        <w:rPr>
          <w:rFonts w:ascii="Times New Roman" w:eastAsia="Times New Roman" w:hAnsi="Times New Roman" w:cs="Times New Roman"/>
          <w:b/>
          <w:iCs/>
          <w:szCs w:val="20"/>
          <w:lang w:val="sr-Cyrl-RS"/>
        </w:rPr>
        <w:t>мастер</w:t>
      </w:r>
      <w:r w:rsidR="00A10B09" w:rsidRPr="00CD3039">
        <w:rPr>
          <w:rFonts w:ascii="Times New Roman" w:eastAsia="Times New Roman" w:hAnsi="Times New Roman" w:cs="Times New Roman"/>
          <w:b/>
          <w:iCs/>
          <w:szCs w:val="20"/>
          <w:lang w:val="sr-Cyrl-RS"/>
        </w:rPr>
        <w:t xml:space="preserve"> </w:t>
      </w:r>
      <w:r w:rsidRPr="00CD3039">
        <w:rPr>
          <w:rFonts w:ascii="Times New Roman" w:eastAsia="Times New Roman" w:hAnsi="Times New Roman" w:cs="Times New Roman"/>
          <w:b/>
          <w:iCs/>
          <w:szCs w:val="20"/>
          <w:lang w:val="sr-Cyrl-RS"/>
        </w:rPr>
        <w:t>рада</w:t>
      </w:r>
      <w:r w:rsidR="00A10B09" w:rsidRPr="00CD3039">
        <w:rPr>
          <w:rFonts w:ascii="Times New Roman" w:eastAsia="Times New Roman" w:hAnsi="Times New Roman" w:cs="Times New Roman"/>
          <w:b/>
          <w:iCs/>
          <w:szCs w:val="20"/>
          <w:lang w:val="sr-Cyrl-RS"/>
        </w:rPr>
        <w:t xml:space="preserve"> </w:t>
      </w:r>
      <w:r w:rsidRPr="00CD3039">
        <w:rPr>
          <w:rFonts w:ascii="Times New Roman" w:eastAsia="Times New Roman" w:hAnsi="Times New Roman" w:cs="Times New Roman"/>
          <w:b/>
          <w:iCs/>
          <w:szCs w:val="20"/>
          <w:lang w:val="sr-Cyrl-RS"/>
        </w:rPr>
        <w:t>чији</w:t>
      </w:r>
      <w:r w:rsidR="00A10B09" w:rsidRPr="00CD3039">
        <w:rPr>
          <w:rFonts w:ascii="Times New Roman" w:eastAsia="Times New Roman" w:hAnsi="Times New Roman" w:cs="Times New Roman"/>
          <w:b/>
          <w:iCs/>
          <w:szCs w:val="20"/>
          <w:lang w:val="sr-Cyrl-RS"/>
        </w:rPr>
        <w:t xml:space="preserve"> </w:t>
      </w:r>
      <w:r w:rsidR="00607900" w:rsidRPr="00CD3039">
        <w:rPr>
          <w:rFonts w:ascii="Times New Roman" w:eastAsia="Times New Roman" w:hAnsi="Times New Roman" w:cs="Times New Roman"/>
          <w:b/>
          <w:iCs/>
          <w:szCs w:val="20"/>
          <w:lang w:val="sr-Cyrl-RS"/>
        </w:rPr>
        <w:t>мент</w:t>
      </w:r>
      <w:r w:rsidRPr="00CD3039">
        <w:rPr>
          <w:rFonts w:ascii="Times New Roman" w:eastAsia="Times New Roman" w:hAnsi="Times New Roman" w:cs="Times New Roman"/>
          <w:b/>
          <w:iCs/>
          <w:szCs w:val="20"/>
          <w:lang w:val="sr-Cyrl-RS"/>
        </w:rPr>
        <w:t>о</w:t>
      </w:r>
      <w:r w:rsidR="00607900" w:rsidRPr="00CD3039">
        <w:rPr>
          <w:rFonts w:ascii="Times New Roman" w:eastAsia="Times New Roman" w:hAnsi="Times New Roman" w:cs="Times New Roman"/>
          <w:b/>
          <w:iCs/>
          <w:szCs w:val="20"/>
          <w:lang w:val="sr-Cyrl-RS"/>
        </w:rPr>
        <w:t>р</w:t>
      </w:r>
      <w:r w:rsidR="00A10B09" w:rsidRPr="00CD3039">
        <w:rPr>
          <w:rFonts w:ascii="Times New Roman" w:eastAsia="Times New Roman" w:hAnsi="Times New Roman" w:cs="Times New Roman"/>
          <w:b/>
          <w:iCs/>
          <w:szCs w:val="20"/>
          <w:lang w:val="sr-Cyrl-RS"/>
        </w:rPr>
        <w:t xml:space="preserve"> je </w:t>
      </w:r>
      <w:r w:rsidRPr="00CD3039">
        <w:rPr>
          <w:rFonts w:ascii="Times New Roman" w:eastAsia="Times New Roman" w:hAnsi="Times New Roman" w:cs="Times New Roman"/>
          <w:b/>
          <w:iCs/>
          <w:szCs w:val="20"/>
          <w:lang w:val="sr-Cyrl-RS"/>
        </w:rPr>
        <w:t>била</w:t>
      </w:r>
      <w:r w:rsidR="00A10B09" w:rsidRPr="00CD3039">
        <w:rPr>
          <w:rFonts w:ascii="Times New Roman" w:eastAsia="Times New Roman" w:hAnsi="Times New Roman" w:cs="Times New Roman"/>
          <w:b/>
          <w:iCs/>
          <w:szCs w:val="20"/>
          <w:lang w:val="sr-Cyrl-RS"/>
        </w:rPr>
        <w:t xml:space="preserve"> </w:t>
      </w:r>
      <w:r w:rsidRPr="00CD3039">
        <w:rPr>
          <w:rFonts w:ascii="Times New Roman" w:eastAsia="Times New Roman" w:hAnsi="Times New Roman" w:cs="Times New Roman"/>
          <w:b/>
          <w:iCs/>
          <w:szCs w:val="20"/>
          <w:lang w:val="sr-Cyrl-RS"/>
        </w:rPr>
        <w:t>др</w:t>
      </w:r>
      <w:r w:rsidR="00A10B09" w:rsidRPr="00CD3039">
        <w:rPr>
          <w:rFonts w:ascii="Times New Roman" w:eastAsia="Times New Roman" w:hAnsi="Times New Roman" w:cs="Times New Roman"/>
          <w:b/>
          <w:iCs/>
          <w:szCs w:val="20"/>
          <w:lang w:val="sr-Cyrl-RS"/>
        </w:rPr>
        <w:t xml:space="preserve"> </w:t>
      </w:r>
      <w:r w:rsidRPr="00CD3039">
        <w:rPr>
          <w:rFonts w:ascii="Times New Roman" w:eastAsia="Times New Roman" w:hAnsi="Times New Roman" w:cs="Times New Roman"/>
          <w:b/>
          <w:iCs/>
          <w:szCs w:val="20"/>
          <w:lang w:val="sr-Cyrl-RS"/>
        </w:rPr>
        <w:t>Мирна</w:t>
      </w:r>
      <w:r w:rsidR="00A10B09" w:rsidRPr="00CD3039">
        <w:rPr>
          <w:rFonts w:ascii="Times New Roman" w:eastAsia="Times New Roman" w:hAnsi="Times New Roman" w:cs="Times New Roman"/>
          <w:b/>
          <w:iCs/>
          <w:szCs w:val="20"/>
          <w:lang w:val="sr-Cyrl-RS"/>
        </w:rPr>
        <w:t xml:space="preserve"> </w:t>
      </w:r>
      <w:r w:rsidRPr="00CD3039">
        <w:rPr>
          <w:rFonts w:ascii="Times New Roman" w:eastAsia="Times New Roman" w:hAnsi="Times New Roman" w:cs="Times New Roman"/>
          <w:b/>
          <w:iCs/>
          <w:szCs w:val="20"/>
          <w:lang w:val="sr-Cyrl-RS"/>
        </w:rPr>
        <w:t>Капетина, доцент</w:t>
      </w:r>
      <w:r w:rsidR="00A10B09" w:rsidRPr="00CD3039">
        <w:rPr>
          <w:rFonts w:ascii="Times New Roman" w:eastAsia="Times New Roman" w:hAnsi="Times New Roman" w:cs="Times New Roman"/>
          <w:b/>
          <w:iCs/>
          <w:szCs w:val="20"/>
          <w:lang w:val="sr-Cyrl-RS"/>
        </w:rPr>
        <w:t>.</w:t>
      </w:r>
    </w:p>
    <w:p w14:paraId="554669EF" w14:textId="7B1B7276" w:rsidR="00E32CBD" w:rsidRPr="00CD3039" w:rsidRDefault="00F00962" w:rsidP="00B43FC9">
      <w:pPr>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lastRenderedPageBreak/>
        <w:t>тренутно представљају најефикаснији начин за помоћ особама са ампутацијом. Међутим, фабрикација надокнаде и пратећа протетичка рехабилитација су веома дуг и скуп процес а некада примена протезе не доводи до побољшања мобилности и квалитета живота пацијента па је због тога потребно предвидети исход потенцијалног</w:t>
      </w:r>
      <w:r w:rsidR="00255858">
        <w:rPr>
          <w:rFonts w:ascii="Times New Roman" w:eastAsia="Times New Roman" w:hAnsi="Times New Roman" w:cs="Times New Roman"/>
          <w:iCs/>
          <w:szCs w:val="20"/>
          <w:lang w:val="sr-Cyrl-RS"/>
        </w:rPr>
        <w:t xml:space="preserve"> </w:t>
      </w:r>
      <w:r w:rsidRPr="00CD3039">
        <w:rPr>
          <w:rFonts w:ascii="Times New Roman" w:eastAsia="Times New Roman" w:hAnsi="Times New Roman" w:cs="Times New Roman"/>
          <w:iCs/>
          <w:szCs w:val="20"/>
          <w:lang w:val="sr-Cyrl-RS"/>
        </w:rPr>
        <w:t>рехабилитационог</w:t>
      </w:r>
      <w:r w:rsidR="00255858">
        <w:rPr>
          <w:rFonts w:ascii="Times New Roman" w:eastAsia="Times New Roman" w:hAnsi="Times New Roman" w:cs="Times New Roman"/>
          <w:iCs/>
          <w:szCs w:val="20"/>
          <w:lang w:val="sr-Cyrl-RS"/>
        </w:rPr>
        <w:t xml:space="preserve"> </w:t>
      </w:r>
      <w:r w:rsidRPr="00CD3039">
        <w:rPr>
          <w:rFonts w:ascii="Times New Roman" w:eastAsia="Times New Roman" w:hAnsi="Times New Roman" w:cs="Times New Roman"/>
          <w:iCs/>
          <w:szCs w:val="20"/>
          <w:lang w:val="sr-Cyrl-RS"/>
        </w:rPr>
        <w:t>третмана.</w:t>
      </w:r>
    </w:p>
    <w:p w14:paraId="095ADE94" w14:textId="6131189A" w:rsidR="00D85D52" w:rsidRPr="00CD3039" w:rsidRDefault="00D85D52" w:rsidP="00B43FC9">
      <w:pPr>
        <w:spacing w:before="60"/>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Главни задатак овог истраживања био је да се направи алат, уз помоћ алгоритама базираних на методама машинског учења (енгл. machine learning), који би се могао што раније применити, како би се направила што боља предикција исхода рехабилитације паци</w:t>
      </w:r>
      <w:r w:rsidR="00B43FC9">
        <w:rPr>
          <w:rFonts w:ascii="Times New Roman" w:eastAsia="Times New Roman" w:hAnsi="Times New Roman" w:cs="Times New Roman"/>
          <w:iCs/>
          <w:szCs w:val="20"/>
          <w:lang w:val="sr-Latn-RS"/>
        </w:rPr>
        <w:softHyphen/>
      </w:r>
      <w:r w:rsidRPr="00CD3039">
        <w:rPr>
          <w:rFonts w:ascii="Times New Roman" w:eastAsia="Times New Roman" w:hAnsi="Times New Roman" w:cs="Times New Roman"/>
          <w:iCs/>
          <w:szCs w:val="20"/>
          <w:lang w:val="sr-Cyrl-RS"/>
        </w:rPr>
        <w:t>јената са ампутацијом, односно предикција К-нивоа, нивоа оспособљености за ход, теста двоминутног хода и теста устани и крени. Да би предикција била што успешнија потребно је идентификовати параметре предикције, односно оне факторе који утичу на оспособљеност за ход уз помоћ протезе.</w:t>
      </w:r>
    </w:p>
    <w:p w14:paraId="7E1984B1" w14:textId="77777777" w:rsidR="00607900" w:rsidRPr="00CD3039" w:rsidRDefault="00607900" w:rsidP="00B43FC9">
      <w:pPr>
        <w:spacing w:before="60"/>
        <w:rPr>
          <w:rFonts w:ascii="Times New Roman" w:eastAsia="Times New Roman" w:hAnsi="Times New Roman" w:cs="Times New Roman"/>
          <w:iCs/>
          <w:szCs w:val="20"/>
          <w:lang w:val="sr-Cyrl-RS"/>
        </w:rPr>
      </w:pPr>
    </w:p>
    <w:p w14:paraId="34046B98" w14:textId="77777777" w:rsidR="002A649A" w:rsidRPr="00CD3039" w:rsidRDefault="002A649A" w:rsidP="00B43FC9">
      <w:pPr>
        <w:spacing w:before="60"/>
        <w:rPr>
          <w:rFonts w:ascii="Times New Roman" w:eastAsia="Times New Roman" w:hAnsi="Times New Roman" w:cs="Times New Roman"/>
          <w:b/>
          <w:iCs/>
          <w:szCs w:val="20"/>
          <w:lang w:val="sr-Cyrl-RS"/>
        </w:rPr>
      </w:pPr>
      <w:r w:rsidRPr="00CD3039">
        <w:rPr>
          <w:rFonts w:ascii="Times New Roman" w:eastAsia="Times New Roman" w:hAnsi="Times New Roman" w:cs="Times New Roman"/>
          <w:b/>
          <w:iCs/>
          <w:szCs w:val="20"/>
          <w:lang w:val="sr-Cyrl-RS"/>
        </w:rPr>
        <w:t>2. ЕКСПЕРИМЕНТАЛНИ ПОДАЦИ</w:t>
      </w:r>
    </w:p>
    <w:p w14:paraId="28A07246" w14:textId="670303CA" w:rsidR="00607900" w:rsidRPr="00B43FC9" w:rsidRDefault="002A649A" w:rsidP="00B43FC9">
      <w:pPr>
        <w:spacing w:before="120"/>
        <w:rPr>
          <w:rFonts w:ascii="Times New Roman" w:eastAsia="Times New Roman" w:hAnsi="Times New Roman" w:cs="Times New Roman"/>
          <w:iCs/>
          <w:spacing w:val="-2"/>
          <w:kern w:val="20"/>
          <w:szCs w:val="20"/>
          <w:lang w:val="sr-Cyrl-RS"/>
        </w:rPr>
      </w:pPr>
      <w:r w:rsidRPr="00B43FC9">
        <w:rPr>
          <w:rFonts w:ascii="Times New Roman" w:eastAsia="Times New Roman" w:hAnsi="Times New Roman" w:cs="Times New Roman"/>
          <w:iCs/>
          <w:spacing w:val="-2"/>
          <w:kern w:val="20"/>
          <w:szCs w:val="20"/>
          <w:lang w:val="sr-Cyrl-RS"/>
        </w:rPr>
        <w:t>У</w:t>
      </w:r>
      <w:r w:rsidR="00B43FC9" w:rsidRPr="00B43FC9">
        <w:rPr>
          <w:rFonts w:ascii="Times New Roman" w:eastAsia="Times New Roman" w:hAnsi="Times New Roman" w:cs="Times New Roman"/>
          <w:iCs/>
          <w:spacing w:val="-2"/>
          <w:kern w:val="20"/>
          <w:szCs w:val="20"/>
          <w:lang w:val="sr-Latn-RS"/>
        </w:rPr>
        <w:t xml:space="preserve"> </w:t>
      </w:r>
      <w:r w:rsidR="00607900" w:rsidRPr="00B43FC9">
        <w:rPr>
          <w:rFonts w:ascii="Times New Roman" w:eastAsia="Times New Roman" w:hAnsi="Times New Roman" w:cs="Times New Roman"/>
          <w:iCs/>
          <w:spacing w:val="-2"/>
          <w:kern w:val="20"/>
          <w:szCs w:val="20"/>
          <w:lang w:val="sr-Cyrl-RS"/>
        </w:rPr>
        <w:t>раду је анализиран утицај различитих параметара на предикцију успешности рехабилитационог третмана пацијената са ампутацијом. Подаци су прикупљани у Клиничком центру Војводине у периоду између 2010. и 2012. године. У истраживању је учествовало 104 паци</w:t>
      </w:r>
      <w:r w:rsidR="00B43FC9">
        <w:rPr>
          <w:rFonts w:ascii="Times New Roman" w:eastAsia="Times New Roman" w:hAnsi="Times New Roman" w:cs="Times New Roman"/>
          <w:iCs/>
          <w:spacing w:val="-2"/>
          <w:kern w:val="20"/>
          <w:szCs w:val="20"/>
          <w:lang w:val="sr-Latn-RS"/>
        </w:rPr>
        <w:softHyphen/>
      </w:r>
      <w:r w:rsidR="00607900" w:rsidRPr="00B43FC9">
        <w:rPr>
          <w:rFonts w:ascii="Times New Roman" w:eastAsia="Times New Roman" w:hAnsi="Times New Roman" w:cs="Times New Roman"/>
          <w:iCs/>
          <w:spacing w:val="-2"/>
          <w:kern w:val="20"/>
          <w:szCs w:val="20"/>
          <w:lang w:val="sr-Cyrl-RS"/>
        </w:rPr>
        <w:t>јента,</w:t>
      </w:r>
      <w:r w:rsidR="00B43FC9">
        <w:rPr>
          <w:rFonts w:ascii="Times New Roman" w:eastAsia="Times New Roman" w:hAnsi="Times New Roman" w:cs="Times New Roman"/>
          <w:iCs/>
          <w:spacing w:val="-2"/>
          <w:kern w:val="20"/>
          <w:szCs w:val="20"/>
          <w:lang w:val="sr-Latn-RS"/>
        </w:rPr>
        <w:t xml:space="preserve"> </w:t>
      </w:r>
      <w:r w:rsidR="00607900" w:rsidRPr="00B43FC9">
        <w:rPr>
          <w:rFonts w:ascii="Times New Roman" w:eastAsia="Times New Roman" w:hAnsi="Times New Roman" w:cs="Times New Roman"/>
          <w:iCs/>
          <w:spacing w:val="-2"/>
          <w:kern w:val="20"/>
          <w:szCs w:val="20"/>
          <w:lang w:val="sr-Cyrl-RS"/>
        </w:rPr>
        <w:t>различитог пола и старости (62,0 ± 10,9 година). Критеријум за укључивање пацијената у истраживање био</w:t>
      </w:r>
      <w:r w:rsidR="00255858">
        <w:rPr>
          <w:rFonts w:ascii="Times New Roman" w:eastAsia="Times New Roman" w:hAnsi="Times New Roman" w:cs="Times New Roman"/>
          <w:iCs/>
          <w:spacing w:val="-2"/>
          <w:kern w:val="20"/>
          <w:szCs w:val="20"/>
          <w:lang w:val="sr-Cyrl-RS"/>
        </w:rPr>
        <w:t xml:space="preserve"> </w:t>
      </w:r>
      <w:r w:rsidR="00607900" w:rsidRPr="00B43FC9">
        <w:rPr>
          <w:rFonts w:ascii="Times New Roman" w:eastAsia="Times New Roman" w:hAnsi="Times New Roman" w:cs="Times New Roman"/>
          <w:iCs/>
          <w:spacing w:val="-2"/>
          <w:kern w:val="20"/>
          <w:szCs w:val="20"/>
          <w:lang w:val="sr-Cyrl-RS"/>
        </w:rPr>
        <w:t xml:space="preserve">је унилатерална ампутација доњих екстремитета изнад нивоа скочног зглоба пацијената који су први пут </w:t>
      </w:r>
      <w:r w:rsidR="00CD3039" w:rsidRPr="00B43FC9">
        <w:rPr>
          <w:rFonts w:ascii="Times New Roman" w:eastAsia="Times New Roman" w:hAnsi="Times New Roman" w:cs="Times New Roman"/>
          <w:iCs/>
          <w:spacing w:val="-2"/>
          <w:kern w:val="20"/>
          <w:szCs w:val="20"/>
          <w:lang w:val="sr-Cyrl-RS"/>
        </w:rPr>
        <w:t>снабдевени</w:t>
      </w:r>
      <w:r w:rsidR="00607900" w:rsidRPr="00B43FC9">
        <w:rPr>
          <w:rFonts w:ascii="Times New Roman" w:eastAsia="Times New Roman" w:hAnsi="Times New Roman" w:cs="Times New Roman"/>
          <w:iCs/>
          <w:spacing w:val="-2"/>
          <w:kern w:val="20"/>
          <w:szCs w:val="20"/>
          <w:lang w:val="sr-Cyrl-RS"/>
        </w:rPr>
        <w:t xml:space="preserve"> протезом. Сваки пацијент дао је писмени информативни пристанак на учешће у овом истражи</w:t>
      </w:r>
      <w:r w:rsidR="00B43FC9">
        <w:rPr>
          <w:rFonts w:ascii="Times New Roman" w:eastAsia="Times New Roman" w:hAnsi="Times New Roman" w:cs="Times New Roman"/>
          <w:iCs/>
          <w:spacing w:val="-2"/>
          <w:kern w:val="20"/>
          <w:szCs w:val="20"/>
          <w:lang w:val="sr-Latn-RS"/>
        </w:rPr>
        <w:softHyphen/>
      </w:r>
      <w:r w:rsidR="00607900" w:rsidRPr="00B43FC9">
        <w:rPr>
          <w:rFonts w:ascii="Times New Roman" w:eastAsia="Times New Roman" w:hAnsi="Times New Roman" w:cs="Times New Roman"/>
          <w:iCs/>
          <w:spacing w:val="-2"/>
          <w:kern w:val="20"/>
          <w:szCs w:val="20"/>
          <w:lang w:val="sr-Cyrl-RS"/>
        </w:rPr>
        <w:t xml:space="preserve">вању. Студија је добила сагласност за спровођење од стране Етичке комисије Клиничког центра Војводине и Медицинског факултета у Новом Саду. </w:t>
      </w:r>
    </w:p>
    <w:p w14:paraId="2E4CA8EB" w14:textId="77777777" w:rsidR="004A1675" w:rsidRPr="00CD3039" w:rsidRDefault="004A1675" w:rsidP="00B43FC9">
      <w:pPr>
        <w:rPr>
          <w:rFonts w:ascii="Times New Roman" w:eastAsia="Times New Roman" w:hAnsi="Times New Roman" w:cs="Times New Roman"/>
          <w:iCs/>
          <w:szCs w:val="20"/>
          <w:lang w:val="sr-Cyrl-RS"/>
        </w:rPr>
      </w:pPr>
    </w:p>
    <w:p w14:paraId="4DF90FC5" w14:textId="77777777" w:rsidR="002B7AE7" w:rsidRPr="00CD3039" w:rsidRDefault="002B7AE7" w:rsidP="00B43FC9">
      <w:pPr>
        <w:rPr>
          <w:rFonts w:ascii="Times New Roman" w:eastAsia="Times New Roman" w:hAnsi="Times New Roman" w:cs="Times New Roman"/>
          <w:iCs/>
          <w:szCs w:val="20"/>
          <w:lang w:val="sr-Cyrl-RS"/>
        </w:rPr>
      </w:pPr>
      <w:r w:rsidRPr="00CD3039">
        <w:rPr>
          <w:rFonts w:ascii="Times New Roman" w:eastAsia="Times New Roman" w:hAnsi="Times New Roman" w:cs="Times New Roman"/>
          <w:b/>
          <w:iCs/>
          <w:szCs w:val="20"/>
          <w:lang w:val="sr-Cyrl-RS"/>
        </w:rPr>
        <w:t>2.1. Балансираност скупа података</w:t>
      </w:r>
    </w:p>
    <w:p w14:paraId="66DECE95" w14:textId="6640F7C2" w:rsidR="00607900" w:rsidRPr="00CD3039" w:rsidRDefault="00607900" w:rsidP="00B43FC9">
      <w:pPr>
        <w:spacing w:before="120"/>
        <w:rPr>
          <w:lang w:val="sr-Cyrl-RS"/>
        </w:rPr>
      </w:pPr>
      <w:r w:rsidRPr="00CD3039">
        <w:rPr>
          <w:rFonts w:ascii="Times New Roman" w:eastAsia="Times New Roman" w:hAnsi="Times New Roman" w:cs="Times New Roman"/>
          <w:iCs/>
          <w:szCs w:val="20"/>
          <w:lang w:val="sr-Cyrl-RS"/>
        </w:rPr>
        <w:t xml:space="preserve">Као што је споменуто, у истраживању је учествовало 104 пацијента, а њихова расподела према класама за категорије К-ниво и ниво оспособљености за ход приказана је на слици 1. </w:t>
      </w:r>
      <w:r w:rsidRPr="00CD3039">
        <w:rPr>
          <w:lang w:val="sr-Cyrl-RS"/>
        </w:rPr>
        <w:t xml:space="preserve">Са графика се може видети да је разлика у броју испитаника међу класама веома велика, код обе категорије. Алгоритми машинског учења имају </w:t>
      </w:r>
      <w:r w:rsidR="00CD3039" w:rsidRPr="00CD3039">
        <w:rPr>
          <w:lang w:val="sr-Cyrl-RS"/>
        </w:rPr>
        <w:t>тенденцију</w:t>
      </w:r>
      <w:r w:rsidRPr="00CD3039">
        <w:rPr>
          <w:lang w:val="sr-Cyrl-RS"/>
        </w:rPr>
        <w:t xml:space="preserve"> да </w:t>
      </w:r>
      <w:r w:rsidR="00CD3039" w:rsidRPr="00CD3039">
        <w:rPr>
          <w:lang w:val="sr-Cyrl-RS"/>
        </w:rPr>
        <w:t>фаворизују</w:t>
      </w:r>
      <w:r w:rsidRPr="00CD3039">
        <w:rPr>
          <w:lang w:val="sr-Cyrl-RS"/>
        </w:rPr>
        <w:t xml:space="preserve"> класу са највећим уделом испитаника</w:t>
      </w:r>
      <w:r w:rsidR="00084DDE" w:rsidRPr="00CD3039">
        <w:rPr>
          <w:lang w:val="sr-Cyrl-RS"/>
        </w:rPr>
        <w:t xml:space="preserve"> </w:t>
      </w:r>
      <w:r w:rsidR="00084DDE" w:rsidRPr="00CD3039">
        <w:rPr>
          <w:rFonts w:ascii="Times New Roman" w:eastAsia="Times New Roman" w:hAnsi="Times New Roman" w:cs="Times New Roman"/>
          <w:iCs/>
          <w:szCs w:val="20"/>
          <w:lang w:val="sr-Cyrl-RS"/>
        </w:rPr>
        <w:t>[2]</w:t>
      </w:r>
      <w:r w:rsidRPr="00CD3039">
        <w:rPr>
          <w:lang w:val="sr-Cyrl-RS"/>
        </w:rPr>
        <w:t xml:space="preserve">, тако да оваква </w:t>
      </w:r>
      <w:r w:rsidR="00084DDE" w:rsidRPr="00CD3039">
        <w:rPr>
          <w:lang w:val="sr-Cyrl-RS"/>
        </w:rPr>
        <w:t>пропорциона</w:t>
      </w:r>
      <w:r w:rsidRPr="00CD3039">
        <w:rPr>
          <w:lang w:val="sr-Cyrl-RS"/>
        </w:rPr>
        <w:t xml:space="preserve">лност може бити посебно </w:t>
      </w:r>
      <w:r w:rsidR="00084DDE" w:rsidRPr="00CD3039">
        <w:rPr>
          <w:lang w:val="sr-Cyrl-RS"/>
        </w:rPr>
        <w:t>проблематична</w:t>
      </w:r>
      <w:r w:rsidRPr="00CD3039">
        <w:rPr>
          <w:lang w:val="sr-Cyrl-RS"/>
        </w:rPr>
        <w:t xml:space="preserve"> к</w:t>
      </w:r>
      <w:r w:rsidR="00084DDE" w:rsidRPr="00CD3039">
        <w:rPr>
          <w:lang w:val="sr-Cyrl-RS"/>
        </w:rPr>
        <w:t>ада</w:t>
      </w:r>
      <w:r w:rsidRPr="00CD3039">
        <w:rPr>
          <w:lang w:val="sr-Cyrl-RS"/>
        </w:rPr>
        <w:t xml:space="preserve"> </w:t>
      </w:r>
      <w:r w:rsidR="00084DDE" w:rsidRPr="00CD3039">
        <w:rPr>
          <w:lang w:val="sr-Cyrl-RS"/>
        </w:rPr>
        <w:t>на</w:t>
      </w:r>
      <w:r w:rsidRPr="00CD3039">
        <w:rPr>
          <w:lang w:val="sr-Cyrl-RS"/>
        </w:rPr>
        <w:t xml:space="preserve">с </w:t>
      </w:r>
      <w:r w:rsidR="00084DDE" w:rsidRPr="00CD3039">
        <w:rPr>
          <w:lang w:val="sr-Cyrl-RS"/>
        </w:rPr>
        <w:t>занима</w:t>
      </w:r>
      <w:r w:rsidRPr="00CD3039">
        <w:rPr>
          <w:lang w:val="sr-Cyrl-RS"/>
        </w:rPr>
        <w:t xml:space="preserve"> </w:t>
      </w:r>
      <w:r w:rsidR="00084DDE" w:rsidRPr="00CD3039">
        <w:rPr>
          <w:lang w:val="sr-Cyrl-RS"/>
        </w:rPr>
        <w:t>тачна</w:t>
      </w:r>
      <w:r w:rsidRPr="00CD3039">
        <w:rPr>
          <w:lang w:val="sr-Cyrl-RS"/>
        </w:rPr>
        <w:t xml:space="preserve"> </w:t>
      </w:r>
      <w:r w:rsidR="00084DDE" w:rsidRPr="00CD3039">
        <w:rPr>
          <w:lang w:val="sr-Cyrl-RS"/>
        </w:rPr>
        <w:t>класификација</w:t>
      </w:r>
      <w:r w:rsidRPr="00CD3039">
        <w:rPr>
          <w:lang w:val="sr-Cyrl-RS"/>
        </w:rPr>
        <w:t xml:space="preserve"> </w:t>
      </w:r>
      <w:r w:rsidR="00084DDE" w:rsidRPr="00CD3039">
        <w:rPr>
          <w:lang w:val="sr-Cyrl-RS"/>
        </w:rPr>
        <w:t>ма</w:t>
      </w:r>
      <w:r w:rsidRPr="00CD3039">
        <w:rPr>
          <w:lang w:val="sr-Cyrl-RS"/>
        </w:rPr>
        <w:t xml:space="preserve">њинских </w:t>
      </w:r>
      <w:r w:rsidR="00084DDE" w:rsidRPr="00CD3039">
        <w:rPr>
          <w:lang w:val="sr-Cyrl-RS"/>
        </w:rPr>
        <w:t>класа</w:t>
      </w:r>
      <w:r w:rsidRPr="00CD3039">
        <w:rPr>
          <w:lang w:val="sr-Cyrl-RS"/>
        </w:rPr>
        <w:t xml:space="preserve">, </w:t>
      </w:r>
      <w:r w:rsidR="00084DDE" w:rsidRPr="00CD3039">
        <w:rPr>
          <w:lang w:val="sr-Cyrl-RS"/>
        </w:rPr>
        <w:t>ка</w:t>
      </w:r>
      <w:r w:rsidRPr="00CD3039">
        <w:rPr>
          <w:lang w:val="sr-Cyrl-RS"/>
        </w:rPr>
        <w:t xml:space="preserve">о што су </w:t>
      </w:r>
      <w:r w:rsidR="00084DDE" w:rsidRPr="00CD3039">
        <w:rPr>
          <w:lang w:val="sr-Cyrl-RS"/>
        </w:rPr>
        <w:t>кла</w:t>
      </w:r>
      <w:r w:rsidRPr="00CD3039">
        <w:rPr>
          <w:lang w:val="sr-Cyrl-RS"/>
        </w:rPr>
        <w:t>се 0 и 4.</w:t>
      </w:r>
    </w:p>
    <w:p w14:paraId="27AF701C" w14:textId="77777777" w:rsidR="00084DDE" w:rsidRPr="00CD3039" w:rsidRDefault="00084DDE" w:rsidP="00B43FC9">
      <w:pPr>
        <w:spacing w:before="120"/>
        <w:rPr>
          <w:rFonts w:ascii="Times New Roman" w:eastAsia="Times New Roman" w:hAnsi="Times New Roman" w:cs="Times New Roman"/>
          <w:iCs/>
          <w:szCs w:val="20"/>
          <w:lang w:val="sr-Cyrl-RS"/>
        </w:rPr>
      </w:pPr>
      <w:r w:rsidRPr="00CD3039">
        <w:rPr>
          <w:noProof/>
          <w:lang w:val="en-US"/>
        </w:rPr>
        <w:lastRenderedPageBreak/>
        <w:drawing>
          <wp:inline distT="0" distB="0" distL="0" distR="0" wp14:anchorId="64399E94" wp14:editId="11858489">
            <wp:extent cx="2969895" cy="1643775"/>
            <wp:effectExtent l="0" t="0" r="20955" b="13970"/>
            <wp:docPr id="329" name="Chart 3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6C9D4B" w14:textId="77777777" w:rsidR="00084DDE" w:rsidRPr="00CD3039" w:rsidRDefault="00084DDE" w:rsidP="00B43FC9">
      <w:pPr>
        <w:spacing w:before="120"/>
        <w:jc w:val="center"/>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 xml:space="preserve">Слика 1. </w:t>
      </w:r>
      <w:r w:rsidRPr="00CD3039">
        <w:rPr>
          <w:rFonts w:ascii="Times New Roman" w:eastAsia="Times New Roman" w:hAnsi="Times New Roman" w:cs="Times New Roman"/>
          <w:i/>
          <w:iCs/>
          <w:szCs w:val="20"/>
          <w:lang w:val="sr-Cyrl-RS"/>
        </w:rPr>
        <w:t>Расподела испитаника према класама за категорије К-ниво (црвена) и ниво оспособљености за ход (плава).</w:t>
      </w:r>
    </w:p>
    <w:p w14:paraId="3A79CB0F" w14:textId="78B8EBC3" w:rsidR="006568BF" w:rsidRPr="00CD3039" w:rsidRDefault="006568BF" w:rsidP="00B43FC9">
      <w:pPr>
        <w:spacing w:before="120"/>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 xml:space="preserve">Ниво оспособљености за ход је скала која се користи на Клиници за рехабилитацију Клиничког центра Војводине за предикцију исхода рехабилитационог третмана. Како је број пацијената чији је исход означен нивоом 2 највећи, да би се смањила неуравнотеженост броја испитаника по класама, извршена је модификација скале и предложена је њена </w:t>
      </w:r>
      <w:r w:rsidR="00CD3039" w:rsidRPr="00CD3039">
        <w:rPr>
          <w:rFonts w:ascii="Times New Roman" w:eastAsia="Times New Roman" w:hAnsi="Times New Roman" w:cs="Times New Roman"/>
          <w:iCs/>
          <w:szCs w:val="20"/>
          <w:lang w:val="sr-Cyrl-RS"/>
        </w:rPr>
        <w:t>употреба</w:t>
      </w:r>
      <w:r w:rsidRPr="00CD3039">
        <w:rPr>
          <w:rFonts w:ascii="Times New Roman" w:eastAsia="Times New Roman" w:hAnsi="Times New Roman" w:cs="Times New Roman"/>
          <w:iCs/>
          <w:szCs w:val="20"/>
          <w:lang w:val="sr-Cyrl-RS"/>
        </w:rPr>
        <w:t xml:space="preserve"> за даљу клиничку праксу (слика 2).</w:t>
      </w:r>
    </w:p>
    <w:p w14:paraId="750614DB" w14:textId="77777777" w:rsidR="002F5A53" w:rsidRPr="00CD3039" w:rsidRDefault="002F5A53" w:rsidP="00B43FC9">
      <w:pPr>
        <w:spacing w:before="120"/>
        <w:rPr>
          <w:rFonts w:ascii="Times New Roman" w:eastAsia="Times New Roman" w:hAnsi="Times New Roman" w:cs="Times New Roman"/>
          <w:iCs/>
          <w:szCs w:val="20"/>
          <w:lang w:val="sr-Cyrl-RS"/>
        </w:rPr>
      </w:pPr>
      <w:r w:rsidRPr="00CD3039">
        <w:rPr>
          <w:noProof/>
          <w:lang w:val="en-US"/>
        </w:rPr>
        <w:drawing>
          <wp:inline distT="0" distB="0" distL="0" distR="0" wp14:anchorId="4A3A3D68" wp14:editId="37529D1E">
            <wp:extent cx="2969895" cy="1781937"/>
            <wp:effectExtent l="0" t="0" r="20955" b="27940"/>
            <wp:docPr id="325" name="Chart 3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55B1038" w14:textId="77777777" w:rsidR="002F5A53" w:rsidRPr="00CD3039" w:rsidRDefault="002F5A53" w:rsidP="00B43FC9">
      <w:pPr>
        <w:spacing w:before="120"/>
        <w:jc w:val="center"/>
        <w:rPr>
          <w:rFonts w:cstheme="minorHAnsi"/>
          <w:lang w:val="sr-Cyrl-RS"/>
        </w:rPr>
      </w:pPr>
      <w:r w:rsidRPr="00CD3039">
        <w:rPr>
          <w:rFonts w:cstheme="minorHAnsi"/>
          <w:lang w:val="sr-Cyrl-RS"/>
        </w:rPr>
        <w:t xml:space="preserve">Слика 2. </w:t>
      </w:r>
      <w:r w:rsidRPr="00CD3039">
        <w:rPr>
          <w:rFonts w:cstheme="minorHAnsi"/>
          <w:i/>
          <w:lang w:val="sr-Cyrl-RS"/>
        </w:rPr>
        <w:t>Модификоване класе нивоа оспособљености</w:t>
      </w:r>
      <w:r w:rsidRPr="00CD3039">
        <w:rPr>
          <w:rFonts w:cstheme="minorHAnsi"/>
          <w:lang w:val="sr-Cyrl-RS"/>
        </w:rPr>
        <w:t xml:space="preserve"> </w:t>
      </w:r>
      <w:r w:rsidRPr="00CD3039">
        <w:rPr>
          <w:rFonts w:cstheme="minorHAnsi"/>
          <w:i/>
          <w:lang w:val="sr-Cyrl-RS"/>
        </w:rPr>
        <w:t>за ход.</w:t>
      </w:r>
    </w:p>
    <w:p w14:paraId="478A658E" w14:textId="3A6FB399" w:rsidR="00BB52DC" w:rsidRDefault="002F5A53" w:rsidP="00B43FC9">
      <w:pPr>
        <w:spacing w:before="120"/>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Нови исход рехабилитације дефинисан је као тросте</w:t>
      </w:r>
      <w:r w:rsidR="00BB52DC">
        <w:rPr>
          <w:rFonts w:ascii="Times New Roman" w:eastAsia="Times New Roman" w:hAnsi="Times New Roman" w:cs="Times New Roman"/>
          <w:iCs/>
          <w:szCs w:val="20"/>
          <w:lang w:val="sr-Cyrl-RS"/>
        </w:rPr>
        <w:softHyphen/>
      </w:r>
      <w:r w:rsidRPr="00CD3039">
        <w:rPr>
          <w:rFonts w:ascii="Times New Roman" w:eastAsia="Times New Roman" w:hAnsi="Times New Roman" w:cs="Times New Roman"/>
          <w:iCs/>
          <w:szCs w:val="20"/>
          <w:lang w:val="sr-Cyrl-RS"/>
        </w:rPr>
        <w:t xml:space="preserve">пена способност хода уз помоћ протезе. </w:t>
      </w:r>
    </w:p>
    <w:p w14:paraId="33A68684" w14:textId="2366D114" w:rsidR="00BB52DC" w:rsidRDefault="002F5A53" w:rsidP="00B43FC9">
      <w:pPr>
        <w:spacing w:before="120"/>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 xml:space="preserve">Ниво 1 представљао би немогућност самосталног хода уз помоћ протезе или строго ограничен ход на веома кратким релацијама (ход у кућним условима), односно, сама протеза не би значајно побољшала мобилност пацијента, нити његов квалитет живота. Након модификације, овој групи припадало је 23 пацијента. </w:t>
      </w:r>
    </w:p>
    <w:p w14:paraId="748EDDF0" w14:textId="111D86D0" w:rsidR="002F5A53" w:rsidRPr="00CD3039" w:rsidRDefault="002F5A53" w:rsidP="00B43FC9">
      <w:pPr>
        <w:spacing w:before="120"/>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 xml:space="preserve">Ниво 2 би представљао пацијенте који би имали могућност хода на релацијама који би биле и изван куће али уз значајна ограничења, док </w:t>
      </w:r>
      <w:r w:rsidR="00BB52DC" w:rsidRPr="00CD3039">
        <w:rPr>
          <w:rFonts w:ascii="Times New Roman" w:eastAsia="Times New Roman" w:hAnsi="Times New Roman" w:cs="Times New Roman"/>
          <w:iCs/>
          <w:szCs w:val="20"/>
          <w:lang w:val="sr-Cyrl-RS"/>
        </w:rPr>
        <w:t xml:space="preserve">би </w:t>
      </w:r>
      <w:r w:rsidRPr="00CD3039">
        <w:rPr>
          <w:rFonts w:ascii="Times New Roman" w:eastAsia="Times New Roman" w:hAnsi="Times New Roman" w:cs="Times New Roman"/>
          <w:iCs/>
          <w:szCs w:val="20"/>
          <w:lang w:val="sr-Cyrl-RS"/>
        </w:rPr>
        <w:t>па</w:t>
      </w:r>
      <w:r w:rsidR="000A12EF" w:rsidRPr="00CD3039">
        <w:rPr>
          <w:rFonts w:ascii="Times New Roman" w:eastAsia="Times New Roman" w:hAnsi="Times New Roman" w:cs="Times New Roman"/>
          <w:iCs/>
          <w:szCs w:val="20"/>
          <w:lang w:val="sr-Cyrl-RS"/>
        </w:rPr>
        <w:t>цијенти нивоа 3 били оспособљени за ход на дугим релација</w:t>
      </w:r>
      <w:r w:rsidR="00BB52DC">
        <w:rPr>
          <w:rFonts w:ascii="Times New Roman" w:eastAsia="Times New Roman" w:hAnsi="Times New Roman" w:cs="Times New Roman"/>
          <w:iCs/>
          <w:szCs w:val="20"/>
          <w:lang w:val="sr-Cyrl-RS"/>
        </w:rPr>
        <w:softHyphen/>
      </w:r>
      <w:r w:rsidR="000A12EF" w:rsidRPr="00CD3039">
        <w:rPr>
          <w:rFonts w:ascii="Times New Roman" w:eastAsia="Times New Roman" w:hAnsi="Times New Roman" w:cs="Times New Roman"/>
          <w:iCs/>
          <w:szCs w:val="20"/>
          <w:lang w:val="sr-Cyrl-RS"/>
        </w:rPr>
        <w:t>ма, уз минимална или чак без ограничења. Овим групама припадало је 45, односно 36 пацијената</w:t>
      </w:r>
      <w:r w:rsidRPr="00CD3039">
        <w:rPr>
          <w:rFonts w:ascii="Times New Roman" w:eastAsia="Times New Roman" w:hAnsi="Times New Roman" w:cs="Times New Roman"/>
          <w:iCs/>
          <w:szCs w:val="20"/>
          <w:lang w:val="sr-Cyrl-RS"/>
        </w:rPr>
        <w:t xml:space="preserve">, </w:t>
      </w:r>
      <w:r w:rsidR="000A12EF" w:rsidRPr="00CD3039">
        <w:rPr>
          <w:rFonts w:ascii="Times New Roman" w:eastAsia="Times New Roman" w:hAnsi="Times New Roman" w:cs="Times New Roman"/>
          <w:iCs/>
          <w:szCs w:val="20"/>
          <w:lang w:val="sr-Cyrl-RS"/>
        </w:rPr>
        <w:t>респективно. Што се тиче К-нивоа, 35 пацијената припадало је кла</w:t>
      </w:r>
      <w:r w:rsidRPr="00CD3039">
        <w:rPr>
          <w:rFonts w:ascii="Times New Roman" w:eastAsia="Times New Roman" w:hAnsi="Times New Roman" w:cs="Times New Roman"/>
          <w:iCs/>
          <w:szCs w:val="20"/>
          <w:lang w:val="sr-Cyrl-RS"/>
        </w:rPr>
        <w:t xml:space="preserve">си </w:t>
      </w:r>
      <w:r w:rsidR="000A12EF" w:rsidRPr="00CD3039">
        <w:rPr>
          <w:rFonts w:ascii="Times New Roman" w:eastAsia="Times New Roman" w:hAnsi="Times New Roman" w:cs="Times New Roman"/>
          <w:iCs/>
          <w:szCs w:val="20"/>
          <w:lang w:val="sr-Cyrl-RS"/>
        </w:rPr>
        <w:t>К0 или К1, 54 испитаника класификовано је у ниво К2, док је 13 пацијената припада</w:t>
      </w:r>
      <w:r w:rsidRPr="00CD3039">
        <w:rPr>
          <w:rFonts w:ascii="Times New Roman" w:eastAsia="Times New Roman" w:hAnsi="Times New Roman" w:cs="Times New Roman"/>
          <w:iCs/>
          <w:szCs w:val="20"/>
          <w:lang w:val="sr-Cyrl-RS"/>
        </w:rPr>
        <w:t xml:space="preserve">ло </w:t>
      </w:r>
      <w:r w:rsidR="00CD3039" w:rsidRPr="00CD3039">
        <w:rPr>
          <w:rFonts w:ascii="Times New Roman" w:eastAsia="Times New Roman" w:hAnsi="Times New Roman" w:cs="Times New Roman"/>
          <w:iCs/>
          <w:szCs w:val="20"/>
          <w:lang w:val="sr-Cyrl-RS"/>
        </w:rPr>
        <w:t>нивоима</w:t>
      </w:r>
      <w:r w:rsidRPr="00CD3039">
        <w:rPr>
          <w:rFonts w:ascii="Times New Roman" w:eastAsia="Times New Roman" w:hAnsi="Times New Roman" w:cs="Times New Roman"/>
          <w:iCs/>
          <w:szCs w:val="20"/>
          <w:lang w:val="sr-Cyrl-RS"/>
        </w:rPr>
        <w:t xml:space="preserve"> К3 или К4.</w:t>
      </w:r>
    </w:p>
    <w:p w14:paraId="27E53B4C" w14:textId="62556FCA" w:rsidR="000A12EF" w:rsidRPr="00CD3039" w:rsidRDefault="000A12EF" w:rsidP="00B43FC9">
      <w:pPr>
        <w:spacing w:before="60"/>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 xml:space="preserve">На основу вредности теста двоминутног хода и теста устани и крени, формиране су категорије у које су сврстани пацијенти. Уколико би пацијент за време </w:t>
      </w:r>
      <w:r w:rsidRPr="00CD3039">
        <w:rPr>
          <w:rFonts w:ascii="Times New Roman" w:eastAsia="Times New Roman" w:hAnsi="Times New Roman" w:cs="Times New Roman"/>
          <w:iCs/>
          <w:szCs w:val="20"/>
          <w:lang w:val="sr-Cyrl-RS"/>
        </w:rPr>
        <w:lastRenderedPageBreak/>
        <w:t>двоминутног теста прешао мање од 25 метара, припадао би класи TMWT1. У случају да би пацијент прешао између 25 метара и 55 метара класификован би био као TMWT2, а уколико би прешао више од 55 метара – TMWT3. Што се тиче теста устани и крени, 28 пацијента је завршило тест за мање од 30 секунди и сврстано је у класу TUG3. 32 пацијента класифи</w:t>
      </w:r>
      <w:r w:rsidR="00255858">
        <w:rPr>
          <w:rFonts w:ascii="Times New Roman" w:eastAsia="Times New Roman" w:hAnsi="Times New Roman" w:cs="Times New Roman"/>
          <w:iCs/>
          <w:szCs w:val="20"/>
          <w:lang w:val="sr-Cyrl-RS"/>
        </w:rPr>
        <w:softHyphen/>
      </w:r>
      <w:r w:rsidRPr="00CD3039">
        <w:rPr>
          <w:rFonts w:ascii="Times New Roman" w:eastAsia="Times New Roman" w:hAnsi="Times New Roman" w:cs="Times New Roman"/>
          <w:iCs/>
          <w:szCs w:val="20"/>
          <w:lang w:val="sr-Cyrl-RS"/>
        </w:rPr>
        <w:t>ковано је у TUG2 (између 30 секунди и 60 секунди неопходних за тест), док је њима 38 било потребно више од 60 секунди за завршетак теста. Oви подаци су графички приказани на слици 3.</w:t>
      </w:r>
    </w:p>
    <w:p w14:paraId="202096DF" w14:textId="77777777" w:rsidR="002B7AE7" w:rsidRPr="00CD3039" w:rsidRDefault="002B7AE7" w:rsidP="00B43FC9">
      <w:pPr>
        <w:spacing w:before="60"/>
        <w:rPr>
          <w:rFonts w:ascii="Times New Roman" w:eastAsia="Times New Roman" w:hAnsi="Times New Roman" w:cs="Times New Roman"/>
          <w:iCs/>
          <w:szCs w:val="20"/>
          <w:lang w:val="sr-Cyrl-RS"/>
        </w:rPr>
      </w:pPr>
    </w:p>
    <w:p w14:paraId="1D48AEB3" w14:textId="77777777" w:rsidR="000A12EF" w:rsidRPr="00CD3039" w:rsidRDefault="000A12EF" w:rsidP="00B43FC9">
      <w:pPr>
        <w:spacing w:before="60"/>
        <w:rPr>
          <w:rFonts w:ascii="Times New Roman" w:eastAsia="Times New Roman" w:hAnsi="Times New Roman" w:cs="Times New Roman"/>
          <w:iCs/>
          <w:szCs w:val="20"/>
          <w:lang w:val="sr-Cyrl-RS"/>
        </w:rPr>
      </w:pPr>
      <w:r w:rsidRPr="00CD3039">
        <w:rPr>
          <w:noProof/>
          <w:lang w:val="en-US"/>
        </w:rPr>
        <w:drawing>
          <wp:inline distT="0" distB="0" distL="0" distR="0" wp14:anchorId="776255AC" wp14:editId="127D9628">
            <wp:extent cx="2969895" cy="1781937"/>
            <wp:effectExtent l="0" t="0" r="20955" b="27940"/>
            <wp:docPr id="332" name="Chart 3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62B9A9" w14:textId="2BF40036" w:rsidR="002B7AE7" w:rsidRPr="00CD3039" w:rsidRDefault="002B7AE7" w:rsidP="00B43FC9">
      <w:pPr>
        <w:spacing w:before="60"/>
        <w:jc w:val="center"/>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 xml:space="preserve">Слика 3. </w:t>
      </w:r>
      <w:r w:rsidRPr="00CD3039">
        <w:rPr>
          <w:rFonts w:ascii="Times New Roman" w:eastAsia="Times New Roman" w:hAnsi="Times New Roman" w:cs="Times New Roman"/>
          <w:i/>
          <w:iCs/>
          <w:szCs w:val="20"/>
          <w:lang w:val="sr-Cyrl-RS"/>
        </w:rPr>
        <w:t>Расподела испитаника за тест устани и крени (TUG) и тест двоминутног ход</w:t>
      </w:r>
      <w:r w:rsidR="00CD3039">
        <w:rPr>
          <w:rFonts w:ascii="Times New Roman" w:eastAsia="Times New Roman" w:hAnsi="Times New Roman" w:cs="Times New Roman"/>
          <w:i/>
          <w:iCs/>
          <w:szCs w:val="20"/>
          <w:lang w:val="sr-Latn-RS"/>
        </w:rPr>
        <w:t>a</w:t>
      </w:r>
      <w:r w:rsidRPr="00CD3039">
        <w:rPr>
          <w:rFonts w:ascii="Times New Roman" w:eastAsia="Times New Roman" w:hAnsi="Times New Roman" w:cs="Times New Roman"/>
          <w:i/>
          <w:iCs/>
          <w:szCs w:val="20"/>
          <w:lang w:val="sr-Cyrl-RS"/>
        </w:rPr>
        <w:t xml:space="preserve"> (TMWT).</w:t>
      </w:r>
    </w:p>
    <w:p w14:paraId="4E793773" w14:textId="77777777" w:rsidR="002B7AE7" w:rsidRPr="00CD3039" w:rsidRDefault="002B7AE7" w:rsidP="00B43FC9">
      <w:pPr>
        <w:spacing w:before="60"/>
        <w:rPr>
          <w:rFonts w:ascii="Times New Roman" w:eastAsia="Times New Roman" w:hAnsi="Times New Roman" w:cs="Times New Roman"/>
          <w:iCs/>
          <w:szCs w:val="20"/>
          <w:lang w:val="sr-Cyrl-RS"/>
        </w:rPr>
      </w:pPr>
    </w:p>
    <w:p w14:paraId="1B511351" w14:textId="77777777" w:rsidR="00450452" w:rsidRPr="00CD3039" w:rsidRDefault="00CC06A9" w:rsidP="00B43FC9">
      <w:pPr>
        <w:spacing w:before="60"/>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Модификацијом класа јесте смањена разлика између броја пацијената по класама али је и даље постојала разлика која би могла узроковати фаворизацију класе са највећим уделом. Због тога је одлучено да се балансираност постигне методом понављања на случајан начин неког узорка.</w:t>
      </w:r>
    </w:p>
    <w:p w14:paraId="1F8822FF" w14:textId="77777777" w:rsidR="00CC06A9" w:rsidRPr="00CD3039" w:rsidRDefault="00CC06A9" w:rsidP="00B43FC9">
      <w:pPr>
        <w:spacing w:before="120"/>
        <w:rPr>
          <w:rFonts w:ascii="Times New Roman" w:eastAsia="Times New Roman" w:hAnsi="Times New Roman" w:cs="Times New Roman"/>
          <w:iCs/>
          <w:szCs w:val="20"/>
          <w:lang w:val="sr-Cyrl-RS"/>
        </w:rPr>
      </w:pPr>
      <w:r w:rsidRPr="00CD3039">
        <w:rPr>
          <w:rFonts w:ascii="Times New Roman" w:eastAsia="Times New Roman" w:hAnsi="Times New Roman" w:cs="Times New Roman"/>
          <w:b/>
          <w:iCs/>
          <w:szCs w:val="20"/>
          <w:lang w:val="sr-Cyrl-RS"/>
        </w:rPr>
        <w:t>2.2. Недостајући подаци</w:t>
      </w:r>
    </w:p>
    <w:p w14:paraId="31E10E29" w14:textId="77777777" w:rsidR="00BB52DC" w:rsidRDefault="00132FA0" w:rsidP="00B43FC9">
      <w:pPr>
        <w:spacing w:before="60"/>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 xml:space="preserve">Истраживање које је спроведено у Клиничком центру Војводине, реализовано је као проспективна студија случаја, што је допринело томе да има веома мали проценат недостајућих података. Од 19 параметара, којима су описивани пацијенти, само код 3 параметра јављају се недостајући подаци (слика 4). </w:t>
      </w:r>
      <w:r w:rsidR="004A1675" w:rsidRPr="00CD3039">
        <w:rPr>
          <w:rFonts w:ascii="Times New Roman" w:eastAsia="Times New Roman" w:hAnsi="Times New Roman" w:cs="Times New Roman"/>
          <w:iCs/>
          <w:szCs w:val="20"/>
          <w:lang w:val="sr-Cyrl-RS"/>
        </w:rPr>
        <w:t xml:space="preserve">Један од најпопуларнијих начина решавања ове проблематике, тако да се сачува бројност узорака, јесте да се недостајући подаци замене узорачком средњом вредношћу или модом [3]. </w:t>
      </w:r>
    </w:p>
    <w:p w14:paraId="05FB3FE7" w14:textId="77777777" w:rsidR="00BB52DC" w:rsidRDefault="004A1675" w:rsidP="00B43FC9">
      <w:pPr>
        <w:spacing w:before="60"/>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 xml:space="preserve">Међутим, на овај начин се умањује варијабилност података (варијанса) и процене коваријансе и корелације у подацима (јер се игнорише однос између варијабли), уколико је процентуално велику удео недостајућих података. </w:t>
      </w:r>
    </w:p>
    <w:p w14:paraId="44B345FC" w14:textId="12CF3EBD" w:rsidR="00132FA0" w:rsidRPr="00CD3039" w:rsidRDefault="00132FA0" w:rsidP="00B43FC9">
      <w:pPr>
        <w:spacing w:before="60"/>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Због малог броја недостајућих података, сматрано је да неће бити утицаја на варијабилност и корелацију података, уколико исте заменимо средњом вредношћу датог обележја.</w:t>
      </w:r>
    </w:p>
    <w:p w14:paraId="2C90BAFA" w14:textId="79B554F0" w:rsidR="004A1675" w:rsidRPr="00CD3039" w:rsidRDefault="004A1675" w:rsidP="00B43FC9">
      <w:pPr>
        <w:spacing w:before="60"/>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Код категорија означених као тест устани и крени и двоминутни тест хода, 6 пацијената није имало запи</w:t>
      </w:r>
      <w:r w:rsidR="00255858">
        <w:rPr>
          <w:rFonts w:ascii="Times New Roman" w:eastAsia="Times New Roman" w:hAnsi="Times New Roman" w:cs="Times New Roman"/>
          <w:iCs/>
          <w:szCs w:val="20"/>
          <w:lang w:val="sr-Cyrl-RS"/>
        </w:rPr>
        <w:softHyphen/>
      </w:r>
      <w:r w:rsidRPr="00CD3039">
        <w:rPr>
          <w:rFonts w:ascii="Times New Roman" w:eastAsia="Times New Roman" w:hAnsi="Times New Roman" w:cs="Times New Roman"/>
          <w:iCs/>
          <w:szCs w:val="20"/>
          <w:lang w:val="sr-Cyrl-RS"/>
        </w:rPr>
        <w:t>сане резултате ових тестова, тако да је предикција ових категорија рађена над</w:t>
      </w:r>
      <w:r w:rsidR="000F1E5C">
        <w:rPr>
          <w:rFonts w:ascii="Times New Roman" w:eastAsia="Times New Roman" w:hAnsi="Times New Roman" w:cs="Times New Roman"/>
          <w:iCs/>
          <w:szCs w:val="20"/>
          <w:lang w:val="sr-Cyrl-RS"/>
        </w:rPr>
        <w:t xml:space="preserve"> </w:t>
      </w:r>
      <w:r w:rsidRPr="00CD3039">
        <w:rPr>
          <w:rFonts w:ascii="Times New Roman" w:eastAsia="Times New Roman" w:hAnsi="Times New Roman" w:cs="Times New Roman"/>
          <w:iCs/>
          <w:szCs w:val="20"/>
          <w:lang w:val="sr-Cyrl-RS"/>
        </w:rPr>
        <w:t>98 случајева.</w:t>
      </w:r>
    </w:p>
    <w:p w14:paraId="4761C7E9" w14:textId="77777777" w:rsidR="004A1675" w:rsidRPr="00CD3039" w:rsidRDefault="004A1675" w:rsidP="00B43FC9">
      <w:pPr>
        <w:spacing w:before="60"/>
        <w:rPr>
          <w:rFonts w:ascii="Times New Roman" w:eastAsia="Times New Roman" w:hAnsi="Times New Roman" w:cs="Times New Roman"/>
          <w:iCs/>
          <w:szCs w:val="20"/>
          <w:lang w:val="sr-Cyrl-RS"/>
        </w:rPr>
      </w:pPr>
    </w:p>
    <w:p w14:paraId="0D3F0D3D" w14:textId="77777777" w:rsidR="004A1675" w:rsidRPr="00CD3039" w:rsidRDefault="00450452" w:rsidP="00B43FC9">
      <w:pPr>
        <w:spacing w:before="60"/>
        <w:jc w:val="center"/>
        <w:rPr>
          <w:rFonts w:ascii="Times New Roman" w:eastAsia="Times New Roman" w:hAnsi="Times New Roman" w:cs="Times New Roman"/>
          <w:i/>
          <w:iCs/>
          <w:szCs w:val="20"/>
          <w:lang w:val="sr-Cyrl-RS"/>
        </w:rPr>
      </w:pPr>
      <w:r w:rsidRPr="00CD3039">
        <w:rPr>
          <w:noProof/>
          <w:lang w:val="en-US"/>
        </w:rPr>
        <w:lastRenderedPageBreak/>
        <w:drawing>
          <wp:inline distT="0" distB="0" distL="0" distR="0" wp14:anchorId="76F63AF2" wp14:editId="5F403B84">
            <wp:extent cx="2857500" cy="169545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4A1675" w:rsidRPr="00CD3039">
        <w:rPr>
          <w:rFonts w:ascii="Times New Roman" w:eastAsia="Times New Roman" w:hAnsi="Times New Roman" w:cs="Times New Roman"/>
          <w:iCs/>
          <w:szCs w:val="20"/>
          <w:lang w:val="sr-Cyrl-RS"/>
        </w:rPr>
        <w:t xml:space="preserve">Слика 4. </w:t>
      </w:r>
      <w:r w:rsidR="004A1675" w:rsidRPr="00CD3039">
        <w:rPr>
          <w:rFonts w:ascii="Times New Roman" w:eastAsia="Times New Roman" w:hAnsi="Times New Roman" w:cs="Times New Roman"/>
          <w:i/>
          <w:iCs/>
          <w:szCs w:val="20"/>
          <w:lang w:val="sr-Cyrl-RS"/>
        </w:rPr>
        <w:t>Расподела недостајућих података према параметрима.</w:t>
      </w:r>
    </w:p>
    <w:p w14:paraId="46EB9D99" w14:textId="77777777" w:rsidR="004A1675" w:rsidRPr="00CD3039" w:rsidRDefault="004A1675" w:rsidP="00B43FC9">
      <w:pPr>
        <w:spacing w:before="60"/>
        <w:jc w:val="center"/>
        <w:rPr>
          <w:rFonts w:ascii="Times New Roman" w:eastAsia="Times New Roman" w:hAnsi="Times New Roman" w:cs="Times New Roman"/>
          <w:iCs/>
          <w:szCs w:val="20"/>
          <w:lang w:val="sr-Cyrl-RS"/>
        </w:rPr>
      </w:pPr>
    </w:p>
    <w:p w14:paraId="5809D883" w14:textId="77777777" w:rsidR="002A649A" w:rsidRPr="00CD3039" w:rsidRDefault="002A649A" w:rsidP="00B43FC9">
      <w:pPr>
        <w:rPr>
          <w:rFonts w:ascii="Times New Roman" w:eastAsia="Times New Roman" w:hAnsi="Times New Roman" w:cs="Times New Roman"/>
          <w:b/>
          <w:iCs/>
          <w:szCs w:val="20"/>
          <w:lang w:val="sr-Cyrl-RS"/>
        </w:rPr>
      </w:pPr>
      <w:r w:rsidRPr="00CD3039">
        <w:rPr>
          <w:rFonts w:ascii="Times New Roman" w:eastAsia="Times New Roman" w:hAnsi="Times New Roman" w:cs="Times New Roman"/>
          <w:b/>
          <w:iCs/>
          <w:szCs w:val="20"/>
          <w:lang w:val="sr-Cyrl-RS"/>
        </w:rPr>
        <w:t>3. ИЗБОР ОБЕЛЕЖЈА</w:t>
      </w:r>
    </w:p>
    <w:p w14:paraId="0CC402F1" w14:textId="35B37B6D" w:rsidR="002A649A" w:rsidRPr="00CD3039" w:rsidRDefault="002A649A" w:rsidP="00B43FC9">
      <w:pPr>
        <w:spacing w:before="120"/>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Један од проблема који се увек јавља приликом класи</w:t>
      </w:r>
      <w:r w:rsidR="00B43FC9">
        <w:rPr>
          <w:rFonts w:ascii="Times New Roman" w:eastAsia="Times New Roman" w:hAnsi="Times New Roman" w:cs="Times New Roman"/>
          <w:iCs/>
          <w:szCs w:val="20"/>
          <w:lang w:val="sr-Latn-RS"/>
        </w:rPr>
        <w:softHyphen/>
      </w:r>
      <w:r w:rsidRPr="00CD3039">
        <w:rPr>
          <w:rFonts w:ascii="Times New Roman" w:eastAsia="Times New Roman" w:hAnsi="Times New Roman" w:cs="Times New Roman"/>
          <w:iCs/>
          <w:szCs w:val="20"/>
          <w:lang w:val="sr-Cyrl-RS"/>
        </w:rPr>
        <w:t>фикације је тзв. проблем одабира обележја, односно предикционих параметара. Избор адекватних обележ</w:t>
      </w:r>
      <w:r w:rsidR="00B43FC9">
        <w:rPr>
          <w:rFonts w:ascii="Times New Roman" w:eastAsia="Times New Roman" w:hAnsi="Times New Roman" w:cs="Times New Roman"/>
          <w:iCs/>
          <w:szCs w:val="20"/>
          <w:lang w:val="sr-Latn-RS"/>
        </w:rPr>
        <w:softHyphen/>
      </w:r>
      <w:r w:rsidRPr="00CD3039">
        <w:rPr>
          <w:rFonts w:ascii="Times New Roman" w:eastAsia="Times New Roman" w:hAnsi="Times New Roman" w:cs="Times New Roman"/>
          <w:iCs/>
          <w:szCs w:val="20"/>
          <w:lang w:val="sr-Cyrl-RS"/>
        </w:rPr>
        <w:t>ја има кључни утицај, не само на квалитет, већ и на ефикасност класификације [2]. Димензије употребље</w:t>
      </w:r>
      <w:r w:rsidR="00B43FC9">
        <w:rPr>
          <w:rFonts w:ascii="Times New Roman" w:eastAsia="Times New Roman" w:hAnsi="Times New Roman" w:cs="Times New Roman"/>
          <w:iCs/>
          <w:szCs w:val="20"/>
          <w:lang w:val="sr-Latn-RS"/>
        </w:rPr>
        <w:softHyphen/>
      </w:r>
      <w:r w:rsidRPr="00CD3039">
        <w:rPr>
          <w:rFonts w:ascii="Times New Roman" w:eastAsia="Times New Roman" w:hAnsi="Times New Roman" w:cs="Times New Roman"/>
          <w:iCs/>
          <w:szCs w:val="20"/>
          <w:lang w:val="sr-Cyrl-RS"/>
        </w:rPr>
        <w:t>ног скупа параметара утичу на дужину времена извршавања и количину употребљеног меморијског простора. Два основна приступа смањењу димензио</w:t>
      </w:r>
      <w:r w:rsidR="00B43FC9">
        <w:rPr>
          <w:rFonts w:ascii="Times New Roman" w:eastAsia="Times New Roman" w:hAnsi="Times New Roman" w:cs="Times New Roman"/>
          <w:iCs/>
          <w:szCs w:val="20"/>
          <w:lang w:val="sr-Latn-RS"/>
        </w:rPr>
        <w:softHyphen/>
      </w:r>
      <w:r w:rsidRPr="00CD3039">
        <w:rPr>
          <w:rFonts w:ascii="Times New Roman" w:eastAsia="Times New Roman" w:hAnsi="Times New Roman" w:cs="Times New Roman"/>
          <w:iCs/>
          <w:szCs w:val="20"/>
          <w:lang w:val="sr-Cyrl-RS"/>
        </w:rPr>
        <w:t xml:space="preserve">налности су одабир обележја и издвајање обележја. Одабир (селекција) обележја подразумева бирање битнијих (дискриминантних) обележја. То се постиже </w:t>
      </w:r>
      <w:r w:rsidR="00CD3039" w:rsidRPr="00CD3039">
        <w:rPr>
          <w:rFonts w:ascii="Times New Roman" w:eastAsia="Times New Roman" w:hAnsi="Times New Roman" w:cs="Times New Roman"/>
          <w:iCs/>
          <w:szCs w:val="20"/>
          <w:lang w:val="sr-Cyrl-RS"/>
        </w:rPr>
        <w:t>различит</w:t>
      </w:r>
      <w:r w:rsidR="00CD3039">
        <w:rPr>
          <w:rFonts w:ascii="Times New Roman" w:eastAsia="Times New Roman" w:hAnsi="Times New Roman" w:cs="Times New Roman"/>
          <w:iCs/>
          <w:szCs w:val="20"/>
          <w:lang w:val="sr-Cyrl-RS"/>
        </w:rPr>
        <w:t>им</w:t>
      </w:r>
      <w:r w:rsidRPr="00CD3039">
        <w:rPr>
          <w:rFonts w:ascii="Times New Roman" w:eastAsia="Times New Roman" w:hAnsi="Times New Roman" w:cs="Times New Roman"/>
          <w:iCs/>
          <w:szCs w:val="20"/>
          <w:lang w:val="sr-Cyrl-RS"/>
        </w:rPr>
        <w:t xml:space="preserve"> техникама. </w:t>
      </w:r>
    </w:p>
    <w:p w14:paraId="56B199DC" w14:textId="4192D200" w:rsidR="00704C1E" w:rsidRPr="00CD3039" w:rsidRDefault="00704C1E" w:rsidP="00B43FC9">
      <w:pPr>
        <w:spacing w:before="60"/>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Најједноставнији начин за испитивање дискриминант</w:t>
      </w:r>
      <w:r w:rsidR="00B43FC9">
        <w:rPr>
          <w:rFonts w:ascii="Times New Roman" w:eastAsia="Times New Roman" w:hAnsi="Times New Roman" w:cs="Times New Roman"/>
          <w:iCs/>
          <w:szCs w:val="20"/>
          <w:lang w:val="sr-Latn-RS"/>
        </w:rPr>
        <w:softHyphen/>
      </w:r>
      <w:r w:rsidRPr="00CD3039">
        <w:rPr>
          <w:rFonts w:ascii="Times New Roman" w:eastAsia="Times New Roman" w:hAnsi="Times New Roman" w:cs="Times New Roman"/>
          <w:iCs/>
          <w:szCs w:val="20"/>
          <w:lang w:val="sr-Cyrl-RS"/>
        </w:rPr>
        <w:t>ности обележја јесте преко Гаусових кривих. На сликама 5 и 6 приказане су Гаусове криве за нека од понуђених обележја</w:t>
      </w:r>
      <w:r w:rsidR="00E2295C" w:rsidRPr="00CD3039">
        <w:rPr>
          <w:rFonts w:ascii="Times New Roman" w:eastAsia="Times New Roman" w:hAnsi="Times New Roman" w:cs="Times New Roman"/>
          <w:iCs/>
          <w:szCs w:val="20"/>
          <w:lang w:val="sr-Cyrl-RS"/>
        </w:rPr>
        <w:t>.</w:t>
      </w:r>
    </w:p>
    <w:p w14:paraId="228DC6B9" w14:textId="77777777" w:rsidR="00704C1E" w:rsidRPr="00CD3039" w:rsidRDefault="00BB52DC" w:rsidP="00B43FC9">
      <w:pPr>
        <w:spacing w:before="60"/>
        <w:rPr>
          <w:rFonts w:ascii="Times New Roman" w:eastAsia="Times New Roman" w:hAnsi="Times New Roman" w:cs="Times New Roman"/>
          <w:iCs/>
          <w:szCs w:val="20"/>
          <w:lang w:val="sr-Cyrl-RS"/>
        </w:rPr>
      </w:pPr>
      <w:r>
        <w:rPr>
          <w:rFonts w:ascii="Times New Roman" w:eastAsia="Times New Roman" w:hAnsi="Times New Roman" w:cs="Times New Roman"/>
          <w:iCs/>
          <w:szCs w:val="20"/>
          <w:lang w:val="sr-Cyrl-RS"/>
        </w:rPr>
        <w:pict w14:anchorId="3E381C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4pt;height:123.35pt">
            <v:imagedata r:id="rId15" o:title="17" cropleft="1890f" cropright="1470f"/>
          </v:shape>
        </w:pict>
      </w:r>
    </w:p>
    <w:p w14:paraId="340D72F6" w14:textId="77777777" w:rsidR="00E2295C" w:rsidRPr="00CD3039" w:rsidRDefault="00E2295C" w:rsidP="00B43FC9">
      <w:pPr>
        <w:spacing w:before="60"/>
        <w:jc w:val="center"/>
        <w:rPr>
          <w:rFonts w:ascii="Times New Roman" w:eastAsia="Times New Roman" w:hAnsi="Times New Roman" w:cs="Times New Roman"/>
          <w:i/>
          <w:iCs/>
          <w:szCs w:val="20"/>
          <w:lang w:val="sr-Cyrl-RS"/>
        </w:rPr>
      </w:pPr>
      <w:r w:rsidRPr="00CD3039">
        <w:rPr>
          <w:rFonts w:ascii="Times New Roman" w:eastAsia="Times New Roman" w:hAnsi="Times New Roman" w:cs="Times New Roman"/>
          <w:iCs/>
          <w:szCs w:val="20"/>
          <w:lang w:val="sr-Cyrl-RS"/>
        </w:rPr>
        <w:t xml:space="preserve">Слика 5. </w:t>
      </w:r>
      <w:r w:rsidRPr="00CD3039">
        <w:rPr>
          <w:rFonts w:ascii="Times New Roman" w:eastAsia="Times New Roman" w:hAnsi="Times New Roman" w:cs="Times New Roman"/>
          <w:i/>
          <w:iCs/>
          <w:szCs w:val="20"/>
          <w:lang w:val="sr-Cyrl-RS"/>
        </w:rPr>
        <w:t>Гаусове криве за обележје</w:t>
      </w:r>
      <w:r w:rsidRPr="00CD3039">
        <w:rPr>
          <w:rFonts w:ascii="Times New Roman" w:eastAsia="Times New Roman" w:hAnsi="Times New Roman" w:cs="Times New Roman"/>
          <w:iCs/>
          <w:szCs w:val="20"/>
          <w:lang w:val="sr-Cyrl-RS"/>
        </w:rPr>
        <w:t xml:space="preserve"> </w:t>
      </w:r>
      <w:r w:rsidRPr="00CD3039">
        <w:rPr>
          <w:rFonts w:ascii="Times New Roman" w:eastAsia="Times New Roman" w:hAnsi="Times New Roman" w:cs="Times New Roman"/>
          <w:i/>
          <w:iCs/>
          <w:szCs w:val="20"/>
          <w:lang w:val="sr-Cyrl-RS"/>
        </w:rPr>
        <w:t>баланс</w:t>
      </w:r>
    </w:p>
    <w:p w14:paraId="03001359" w14:textId="77777777" w:rsidR="00B5285B" w:rsidRPr="00CD3039" w:rsidRDefault="00BB52DC" w:rsidP="00B43FC9">
      <w:pPr>
        <w:spacing w:before="60"/>
        <w:jc w:val="center"/>
        <w:rPr>
          <w:rFonts w:ascii="Times New Roman" w:eastAsia="Times New Roman" w:hAnsi="Times New Roman" w:cs="Times New Roman"/>
          <w:i/>
          <w:iCs/>
          <w:szCs w:val="20"/>
          <w:lang w:val="sr-Cyrl-RS"/>
        </w:rPr>
      </w:pPr>
      <w:r>
        <w:rPr>
          <w:rFonts w:ascii="Times New Roman" w:eastAsia="Times New Roman" w:hAnsi="Times New Roman" w:cs="Times New Roman"/>
          <w:iCs/>
          <w:szCs w:val="20"/>
          <w:lang w:val="sr-Cyrl-RS"/>
        </w:rPr>
        <w:pict w14:anchorId="09A9793F">
          <v:shape id="_x0000_i1026" type="#_x0000_t75" style="width:232.3pt;height:125.85pt">
            <v:imagedata r:id="rId16" o:title="12"/>
          </v:shape>
        </w:pict>
      </w:r>
      <w:r w:rsidR="00B5285B" w:rsidRPr="00CD3039">
        <w:rPr>
          <w:lang w:val="sr-Cyrl-RS"/>
        </w:rPr>
        <w:t xml:space="preserve"> </w:t>
      </w:r>
      <w:r w:rsidR="00B5285B" w:rsidRPr="00CD3039">
        <w:rPr>
          <w:rFonts w:ascii="Times New Roman" w:eastAsia="Times New Roman" w:hAnsi="Times New Roman" w:cs="Times New Roman"/>
          <w:iCs/>
          <w:szCs w:val="20"/>
          <w:lang w:val="sr-Cyrl-RS"/>
        </w:rPr>
        <w:t xml:space="preserve">Слика 6. </w:t>
      </w:r>
      <w:r w:rsidR="00B5285B" w:rsidRPr="00CD3039">
        <w:rPr>
          <w:rFonts w:ascii="Times New Roman" w:eastAsia="Times New Roman" w:hAnsi="Times New Roman" w:cs="Times New Roman"/>
          <w:i/>
          <w:iCs/>
          <w:szCs w:val="20"/>
          <w:lang w:val="sr-Cyrl-RS"/>
        </w:rPr>
        <w:t xml:space="preserve">Гаусове криве за обележје фантомски бол </w:t>
      </w:r>
    </w:p>
    <w:p w14:paraId="3C88855B" w14:textId="77777777" w:rsidR="00255858" w:rsidRDefault="00B5285B" w:rsidP="00B43FC9">
      <w:pPr>
        <w:spacing w:before="120"/>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 xml:space="preserve">Са слике 6 може се закључити да обележје фантомски бол није дискриминантно. Средња вредност обележја у свакој класи (приказане на </w:t>
      </w:r>
      <w:r w:rsidR="00CD3039" w:rsidRPr="00CD3039">
        <w:rPr>
          <w:rFonts w:ascii="Times New Roman" w:eastAsia="Times New Roman" w:hAnsi="Times New Roman" w:cs="Times New Roman"/>
          <w:iCs/>
          <w:szCs w:val="20"/>
          <w:lang w:val="sr-Cyrl-RS"/>
        </w:rPr>
        <w:t>апсциси</w:t>
      </w:r>
      <w:r w:rsidRPr="00CD3039">
        <w:rPr>
          <w:rFonts w:ascii="Times New Roman" w:eastAsia="Times New Roman" w:hAnsi="Times New Roman" w:cs="Times New Roman"/>
          <w:iCs/>
          <w:szCs w:val="20"/>
          <w:lang w:val="sr-Cyrl-RS"/>
        </w:rPr>
        <w:t xml:space="preserve">) имају сличне вредности. Такође, вероватноће овог обележја по класама, чије се вредности читају на ординати </w:t>
      </w:r>
      <w:r w:rsidRPr="00CD3039">
        <w:rPr>
          <w:rFonts w:ascii="Times New Roman" w:eastAsia="Times New Roman" w:hAnsi="Times New Roman" w:cs="Times New Roman"/>
          <w:iCs/>
          <w:szCs w:val="20"/>
          <w:lang w:val="sr-Cyrl-RS"/>
        </w:rPr>
        <w:lastRenderedPageBreak/>
        <w:t>графика, су веома сличне. За разлику од овог обе</w:t>
      </w:r>
      <w:r w:rsidR="000F1E5C">
        <w:rPr>
          <w:rFonts w:ascii="Times New Roman" w:eastAsia="Times New Roman" w:hAnsi="Times New Roman" w:cs="Times New Roman"/>
          <w:iCs/>
          <w:szCs w:val="20"/>
          <w:lang w:val="sr-Cyrl-RS"/>
        </w:rPr>
        <w:softHyphen/>
      </w:r>
      <w:r w:rsidRPr="00CD3039">
        <w:rPr>
          <w:rFonts w:ascii="Times New Roman" w:eastAsia="Times New Roman" w:hAnsi="Times New Roman" w:cs="Times New Roman"/>
          <w:iCs/>
          <w:szCs w:val="20"/>
          <w:lang w:val="sr-Cyrl-RS"/>
        </w:rPr>
        <w:t xml:space="preserve">лежја, обележје баланс </w:t>
      </w:r>
      <w:r w:rsidR="00CD3039" w:rsidRPr="00CD3039">
        <w:rPr>
          <w:rFonts w:ascii="Times New Roman" w:eastAsia="Times New Roman" w:hAnsi="Times New Roman" w:cs="Times New Roman"/>
          <w:iCs/>
          <w:szCs w:val="20"/>
          <w:lang w:val="sr-Cyrl-RS"/>
        </w:rPr>
        <w:t>представљао</w:t>
      </w:r>
      <w:r w:rsidRPr="00CD3039">
        <w:rPr>
          <w:rFonts w:ascii="Times New Roman" w:eastAsia="Times New Roman" w:hAnsi="Times New Roman" w:cs="Times New Roman"/>
          <w:iCs/>
          <w:szCs w:val="20"/>
          <w:lang w:val="sr-Cyrl-RS"/>
        </w:rPr>
        <w:t xml:space="preserve"> би дискрими</w:t>
      </w:r>
      <w:r w:rsidR="000F1E5C">
        <w:rPr>
          <w:rFonts w:ascii="Times New Roman" w:eastAsia="Times New Roman" w:hAnsi="Times New Roman" w:cs="Times New Roman"/>
          <w:iCs/>
          <w:szCs w:val="20"/>
          <w:lang w:val="sr-Cyrl-RS"/>
        </w:rPr>
        <w:softHyphen/>
      </w:r>
      <w:r w:rsidRPr="00CD3039">
        <w:rPr>
          <w:rFonts w:ascii="Times New Roman" w:eastAsia="Times New Roman" w:hAnsi="Times New Roman" w:cs="Times New Roman"/>
          <w:iCs/>
          <w:szCs w:val="20"/>
          <w:lang w:val="sr-Cyrl-RS"/>
        </w:rPr>
        <w:t xml:space="preserve">нантно обележје. Обележје баланс било би добро обележје за идентификацију пацијената код којих би </w:t>
      </w:r>
      <w:r w:rsidR="00CD3039" w:rsidRPr="00CD3039">
        <w:rPr>
          <w:rFonts w:ascii="Times New Roman" w:eastAsia="Times New Roman" w:hAnsi="Times New Roman" w:cs="Times New Roman"/>
          <w:iCs/>
          <w:szCs w:val="20"/>
          <w:lang w:val="sr-Cyrl-RS"/>
        </w:rPr>
        <w:t>рехабилитациони</w:t>
      </w:r>
      <w:r w:rsidRPr="00CD3039">
        <w:rPr>
          <w:rFonts w:ascii="Times New Roman" w:eastAsia="Times New Roman" w:hAnsi="Times New Roman" w:cs="Times New Roman"/>
          <w:iCs/>
          <w:szCs w:val="20"/>
          <w:lang w:val="sr-Cyrl-RS"/>
        </w:rPr>
        <w:t xml:space="preserve"> третман био веома успешан. </w:t>
      </w:r>
    </w:p>
    <w:p w14:paraId="34F2F7DA" w14:textId="246A9372" w:rsidR="00B5285B" w:rsidRPr="00CD3039" w:rsidRDefault="00B5285B" w:rsidP="00B43FC9">
      <w:pPr>
        <w:spacing w:before="120"/>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 xml:space="preserve">Међутим, мана ове технике јесте </w:t>
      </w:r>
      <w:r w:rsidR="00255858">
        <w:rPr>
          <w:rFonts w:ascii="Times New Roman" w:eastAsia="Times New Roman" w:hAnsi="Times New Roman" w:cs="Times New Roman"/>
          <w:iCs/>
          <w:szCs w:val="20"/>
          <w:lang w:val="sr-Cyrl-RS"/>
        </w:rPr>
        <w:t xml:space="preserve">то </w:t>
      </w:r>
      <w:r w:rsidRPr="00CD3039">
        <w:rPr>
          <w:rFonts w:ascii="Times New Roman" w:eastAsia="Times New Roman" w:hAnsi="Times New Roman" w:cs="Times New Roman"/>
          <w:iCs/>
          <w:szCs w:val="20"/>
          <w:lang w:val="sr-Cyrl-RS"/>
        </w:rPr>
        <w:t>што се одабир обележја врши визуелним прегледом Гаусових кривих, и некада нисмо сигурн</w:t>
      </w:r>
      <w:r w:rsidR="00255858">
        <w:rPr>
          <w:rFonts w:ascii="Times New Roman" w:eastAsia="Times New Roman" w:hAnsi="Times New Roman" w:cs="Times New Roman"/>
          <w:iCs/>
          <w:szCs w:val="20"/>
          <w:lang w:val="sr-Cyrl-RS"/>
        </w:rPr>
        <w:t>и</w:t>
      </w:r>
      <w:r w:rsidRPr="00CD3039">
        <w:rPr>
          <w:rFonts w:ascii="Times New Roman" w:eastAsia="Times New Roman" w:hAnsi="Times New Roman" w:cs="Times New Roman"/>
          <w:iCs/>
          <w:szCs w:val="20"/>
          <w:lang w:val="sr-Cyrl-RS"/>
        </w:rPr>
        <w:t xml:space="preserve"> да ли неко обележје треба да прогласимо дискриминантним или не. Због тога су потребне додатне технике за селекцију обе</w:t>
      </w:r>
      <w:r w:rsidR="00255858">
        <w:rPr>
          <w:rFonts w:ascii="Times New Roman" w:eastAsia="Times New Roman" w:hAnsi="Times New Roman" w:cs="Times New Roman"/>
          <w:iCs/>
          <w:szCs w:val="20"/>
          <w:lang w:val="sr-Cyrl-RS"/>
        </w:rPr>
        <w:softHyphen/>
      </w:r>
      <w:bookmarkStart w:id="0" w:name="_GoBack"/>
      <w:bookmarkEnd w:id="0"/>
      <w:r w:rsidRPr="00CD3039">
        <w:rPr>
          <w:rFonts w:ascii="Times New Roman" w:eastAsia="Times New Roman" w:hAnsi="Times New Roman" w:cs="Times New Roman"/>
          <w:iCs/>
          <w:szCs w:val="20"/>
          <w:lang w:val="sr-Cyrl-RS"/>
        </w:rPr>
        <w:t>лежја,</w:t>
      </w:r>
      <w:r w:rsidR="00255858">
        <w:rPr>
          <w:rFonts w:ascii="Times New Roman" w:eastAsia="Times New Roman" w:hAnsi="Times New Roman" w:cs="Times New Roman"/>
          <w:iCs/>
          <w:szCs w:val="20"/>
          <w:lang w:val="sr-Cyrl-RS"/>
        </w:rPr>
        <w:t xml:space="preserve"> </w:t>
      </w:r>
      <w:r w:rsidRPr="00CD3039">
        <w:rPr>
          <w:rFonts w:ascii="Times New Roman" w:eastAsia="Times New Roman" w:hAnsi="Times New Roman" w:cs="Times New Roman"/>
          <w:iCs/>
          <w:szCs w:val="20"/>
          <w:lang w:val="sr-Cyrl-RS"/>
        </w:rPr>
        <w:t>које би потврдиле овакав избор.</w:t>
      </w:r>
    </w:p>
    <w:p w14:paraId="681B3AB7" w14:textId="77777777" w:rsidR="003867DE" w:rsidRPr="00CD3039" w:rsidRDefault="003867DE" w:rsidP="00B43FC9">
      <w:pPr>
        <w:spacing w:before="60"/>
        <w:rPr>
          <w:rFonts w:ascii="Times New Roman" w:eastAsia="Times New Roman" w:hAnsi="Times New Roman" w:cs="Times New Roman"/>
          <w:iCs/>
          <w:szCs w:val="20"/>
          <w:lang w:val="sr-Cyrl-RS"/>
        </w:rPr>
      </w:pPr>
    </w:p>
    <w:p w14:paraId="77A86B20" w14:textId="77777777" w:rsidR="00B5285B" w:rsidRPr="00CD3039" w:rsidRDefault="00B5285B" w:rsidP="00B43FC9">
      <w:pPr>
        <w:spacing w:before="120"/>
        <w:rPr>
          <w:rFonts w:ascii="Times New Roman" w:eastAsia="Times New Roman" w:hAnsi="Times New Roman" w:cs="Times New Roman"/>
          <w:b/>
          <w:iCs/>
          <w:szCs w:val="20"/>
          <w:lang w:val="sr-Cyrl-RS"/>
        </w:rPr>
      </w:pPr>
      <w:r w:rsidRPr="00CD3039">
        <w:rPr>
          <w:rFonts w:ascii="Times New Roman" w:eastAsia="Times New Roman" w:hAnsi="Times New Roman" w:cs="Times New Roman"/>
          <w:b/>
          <w:iCs/>
          <w:szCs w:val="20"/>
          <w:lang w:val="sr-Cyrl-RS"/>
        </w:rPr>
        <w:t>3.1. Стабла одлуке</w:t>
      </w:r>
    </w:p>
    <w:p w14:paraId="13229301" w14:textId="6DABD2A4" w:rsidR="003867DE" w:rsidRPr="00CD3039" w:rsidRDefault="003867DE" w:rsidP="00B43FC9">
      <w:pPr>
        <w:spacing w:before="120"/>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Стабла одлуке су због своје систематске структуре</w:t>
      </w:r>
      <w:r w:rsidR="000F1E5C">
        <w:rPr>
          <w:rFonts w:ascii="Times New Roman" w:eastAsia="Times New Roman" w:hAnsi="Times New Roman" w:cs="Times New Roman"/>
          <w:iCs/>
          <w:szCs w:val="20"/>
          <w:lang w:val="sr-Cyrl-RS"/>
        </w:rPr>
        <w:t xml:space="preserve"> </w:t>
      </w:r>
      <w:r w:rsidRPr="00CD3039">
        <w:rPr>
          <w:rFonts w:ascii="Times New Roman" w:eastAsia="Times New Roman" w:hAnsi="Times New Roman" w:cs="Times New Roman"/>
          <w:iCs/>
          <w:szCs w:val="20"/>
          <w:lang w:val="sr-Cyrl-RS"/>
        </w:rPr>
        <w:t xml:space="preserve">једноставна и разумљива за људе. Одговор на питање зашто је донета нека одлука се добија издвајањем пута од припадајућег листа до корена, при чему се из сваког чвора чита разлог парцијалног избора. Такође, сваком стаблу одлуке се једнозначно може приписати скуп </w:t>
      </w:r>
      <w:r w:rsidR="00CD3039" w:rsidRPr="00CD3039">
        <w:rPr>
          <w:rFonts w:ascii="Times New Roman" w:eastAsia="Times New Roman" w:hAnsi="Times New Roman" w:cs="Times New Roman"/>
          <w:iCs/>
          <w:szCs w:val="20"/>
          <w:lang w:val="sr-Cyrl-RS"/>
        </w:rPr>
        <w:t>правила</w:t>
      </w:r>
      <w:r w:rsidRPr="00CD3039">
        <w:rPr>
          <w:rFonts w:ascii="Times New Roman" w:eastAsia="Times New Roman" w:hAnsi="Times New Roman" w:cs="Times New Roman"/>
          <w:iCs/>
          <w:szCs w:val="20"/>
          <w:lang w:val="sr-Cyrl-RS"/>
        </w:rPr>
        <w:t>: ако - онда (</w:t>
      </w:r>
      <w:r w:rsidRPr="00CD3039">
        <w:rPr>
          <w:rFonts w:ascii="Times New Roman" w:eastAsia="Times New Roman" w:hAnsi="Times New Roman" w:cs="Times New Roman"/>
          <w:i/>
          <w:iCs/>
          <w:szCs w:val="20"/>
          <w:lang w:val="sr-Cyrl-RS"/>
        </w:rPr>
        <w:t>if</w:t>
      </w:r>
      <w:r w:rsidRPr="00CD3039">
        <w:rPr>
          <w:rFonts w:ascii="Times New Roman" w:eastAsia="Times New Roman" w:hAnsi="Times New Roman" w:cs="Times New Roman"/>
          <w:iCs/>
          <w:szCs w:val="20"/>
          <w:lang w:val="sr-Cyrl-RS"/>
        </w:rPr>
        <w:t xml:space="preserve"> - </w:t>
      </w:r>
      <w:r w:rsidRPr="00CD3039">
        <w:rPr>
          <w:rFonts w:ascii="Times New Roman" w:eastAsia="Times New Roman" w:hAnsi="Times New Roman" w:cs="Times New Roman"/>
          <w:i/>
          <w:iCs/>
          <w:szCs w:val="20"/>
          <w:lang w:val="sr-Cyrl-RS"/>
        </w:rPr>
        <w:t>then</w:t>
      </w:r>
      <w:r w:rsidRPr="00CD3039">
        <w:rPr>
          <w:rFonts w:ascii="Times New Roman" w:eastAsia="Times New Roman" w:hAnsi="Times New Roman" w:cs="Times New Roman"/>
          <w:iCs/>
          <w:szCs w:val="20"/>
          <w:lang w:val="sr-Cyrl-RS"/>
        </w:rPr>
        <w:t xml:space="preserve">), која су </w:t>
      </w:r>
      <w:r w:rsidR="00CD3039" w:rsidRPr="00CD3039">
        <w:rPr>
          <w:rFonts w:ascii="Times New Roman" w:eastAsia="Times New Roman" w:hAnsi="Times New Roman" w:cs="Times New Roman"/>
          <w:iCs/>
          <w:szCs w:val="20"/>
          <w:lang w:val="sr-Cyrl-RS"/>
        </w:rPr>
        <w:t>основни</w:t>
      </w:r>
      <w:r w:rsidRPr="00CD3039">
        <w:rPr>
          <w:rFonts w:ascii="Times New Roman" w:eastAsia="Times New Roman" w:hAnsi="Times New Roman" w:cs="Times New Roman"/>
          <w:iCs/>
          <w:szCs w:val="20"/>
          <w:lang w:val="sr-Cyrl-RS"/>
        </w:rPr>
        <w:t xml:space="preserve"> градивни блокови база знања експертских и других система заснованих на знању.</w:t>
      </w:r>
    </w:p>
    <w:p w14:paraId="306E41E4" w14:textId="7269DD23" w:rsidR="00BD3C18" w:rsidRPr="00CD3039" w:rsidRDefault="00BD3C18" w:rsidP="00B43FC9">
      <w:pPr>
        <w:spacing w:before="120"/>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Стабла одлуке врше класификацију узорака у две или више класа на основу вредности параметара, којима су узорци описани, пропуштајући их низ стабло од корена ка листовима. На самом почетку се бира параметар чија вредност најбоље дели расположиве узорке. Анализом базе података, алгоритам је проценио да је најбитније обележје баланс. На слици 7 може се видети да се помоћу обележја баланс лако могу издвојити пацијенти чији би исход рехаби</w:t>
      </w:r>
      <w:r w:rsidR="00255858">
        <w:rPr>
          <w:rFonts w:ascii="Times New Roman" w:eastAsia="Times New Roman" w:hAnsi="Times New Roman" w:cs="Times New Roman"/>
          <w:iCs/>
          <w:szCs w:val="20"/>
          <w:lang w:val="sr-Cyrl-RS"/>
        </w:rPr>
        <w:softHyphen/>
      </w:r>
      <w:r w:rsidRPr="00CD3039">
        <w:rPr>
          <w:rFonts w:ascii="Times New Roman" w:eastAsia="Times New Roman" w:hAnsi="Times New Roman" w:cs="Times New Roman"/>
          <w:iCs/>
          <w:szCs w:val="20"/>
          <w:lang w:val="sr-Cyrl-RS"/>
        </w:rPr>
        <w:t>литације био максималан (што је уједно и потврда за Гаусову криву са слике 5). Овакво стабло служи да истакне значајност обележја баланс.</w:t>
      </w:r>
    </w:p>
    <w:p w14:paraId="10E287F8" w14:textId="77777777" w:rsidR="00BD3C18" w:rsidRPr="00CD3039" w:rsidRDefault="00BB52DC" w:rsidP="00B43FC9">
      <w:pPr>
        <w:spacing w:before="120"/>
        <w:rPr>
          <w:rFonts w:ascii="Times New Roman" w:eastAsia="Times New Roman" w:hAnsi="Times New Roman" w:cs="Times New Roman"/>
          <w:iCs/>
          <w:szCs w:val="20"/>
          <w:lang w:val="sr-Cyrl-RS"/>
        </w:rPr>
      </w:pPr>
      <w:r>
        <w:rPr>
          <w:rFonts w:ascii="Times New Roman" w:eastAsia="Times New Roman" w:hAnsi="Times New Roman" w:cs="Times New Roman"/>
          <w:iCs/>
          <w:szCs w:val="20"/>
          <w:lang w:val="sr-Cyrl-RS"/>
        </w:rPr>
        <w:pict w14:anchorId="459D2234">
          <v:shape id="_x0000_i1027" type="#_x0000_t75" style="width:234.8pt;height:128.95pt">
            <v:imagedata r:id="rId17" o:title="Capture"/>
          </v:shape>
        </w:pict>
      </w:r>
    </w:p>
    <w:p w14:paraId="5D86FB26" w14:textId="77777777" w:rsidR="00EE09B7" w:rsidRPr="00CD3039" w:rsidRDefault="00EE09B7" w:rsidP="00B43FC9">
      <w:pPr>
        <w:spacing w:before="120"/>
        <w:jc w:val="center"/>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 xml:space="preserve">Слика 7. </w:t>
      </w:r>
      <w:r w:rsidRPr="00CD3039">
        <w:rPr>
          <w:rFonts w:ascii="Times New Roman" w:eastAsia="Times New Roman" w:hAnsi="Times New Roman" w:cs="Times New Roman"/>
          <w:i/>
          <w:iCs/>
          <w:szCs w:val="20"/>
          <w:lang w:val="sr-Cyrl-RS"/>
        </w:rPr>
        <w:t>Стабло одлуке као показатељ значајности обележја баланс</w:t>
      </w:r>
      <w:r w:rsidRPr="00CD3039">
        <w:rPr>
          <w:rFonts w:ascii="Times New Roman" w:eastAsia="Times New Roman" w:hAnsi="Times New Roman" w:cs="Times New Roman"/>
          <w:iCs/>
          <w:szCs w:val="20"/>
          <w:lang w:val="sr-Cyrl-RS"/>
        </w:rPr>
        <w:t>.</w:t>
      </w:r>
    </w:p>
    <w:p w14:paraId="1E5DDAA4" w14:textId="77777777" w:rsidR="00B5285B" w:rsidRPr="00CD3039" w:rsidRDefault="00B5285B" w:rsidP="00B43FC9">
      <w:pPr>
        <w:spacing w:before="60"/>
        <w:jc w:val="center"/>
        <w:rPr>
          <w:rFonts w:ascii="Times New Roman" w:eastAsia="Times New Roman" w:hAnsi="Times New Roman" w:cs="Times New Roman"/>
          <w:iCs/>
          <w:szCs w:val="20"/>
          <w:lang w:val="sr-Cyrl-RS"/>
        </w:rPr>
      </w:pPr>
    </w:p>
    <w:p w14:paraId="11998665" w14:textId="4CDA4C3E" w:rsidR="00EE09B7" w:rsidRDefault="00EE09B7" w:rsidP="00B43FC9">
      <w:pPr>
        <w:spacing w:before="60"/>
        <w:rPr>
          <w:rFonts w:ascii="Times New Roman" w:eastAsia="Times New Roman" w:hAnsi="Times New Roman" w:cs="Times New Roman"/>
          <w:iCs/>
          <w:szCs w:val="20"/>
          <w:lang w:val="sr-Latn-RS"/>
        </w:rPr>
      </w:pPr>
      <w:r w:rsidRPr="00CD3039">
        <w:rPr>
          <w:rFonts w:ascii="Times New Roman" w:eastAsia="Times New Roman" w:hAnsi="Times New Roman" w:cs="Times New Roman"/>
          <w:iCs/>
          <w:szCs w:val="20"/>
          <w:lang w:val="sr-Cyrl-RS"/>
        </w:rPr>
        <w:t>На слици 8 приказано је стабло одлуке за категорију ниво оспособљености за ход. Обележја које је стабло издвојило су: баланс, ниво ампутације, старост, индекс телесне масе, мишићна снага екстензора кука резидуалног екстремитета, Скала за брзу процену менталног статуса и Бекова скала</w:t>
      </w:r>
      <w:r w:rsidR="000F1E5C">
        <w:rPr>
          <w:rFonts w:ascii="Times New Roman" w:eastAsia="Times New Roman" w:hAnsi="Times New Roman" w:cs="Times New Roman"/>
          <w:iCs/>
          <w:szCs w:val="20"/>
          <w:lang w:val="sr-Cyrl-RS"/>
        </w:rPr>
        <w:t xml:space="preserve"> </w:t>
      </w:r>
      <w:r w:rsidRPr="00CD3039">
        <w:rPr>
          <w:rFonts w:ascii="Times New Roman" w:eastAsia="Times New Roman" w:hAnsi="Times New Roman" w:cs="Times New Roman"/>
          <w:iCs/>
          <w:szCs w:val="20"/>
          <w:lang w:val="sr-Cyrl-RS"/>
        </w:rPr>
        <w:t xml:space="preserve">депресивности. </w:t>
      </w:r>
    </w:p>
    <w:p w14:paraId="388F15D4" w14:textId="77777777" w:rsidR="00B43FC9" w:rsidRDefault="00B43FC9" w:rsidP="00B43FC9">
      <w:pPr>
        <w:spacing w:before="60"/>
        <w:rPr>
          <w:rFonts w:ascii="Times New Roman" w:eastAsia="Times New Roman" w:hAnsi="Times New Roman" w:cs="Times New Roman"/>
          <w:iCs/>
          <w:szCs w:val="20"/>
          <w:lang w:val="sr-Latn-RS"/>
        </w:rPr>
      </w:pPr>
    </w:p>
    <w:p w14:paraId="4EA71221" w14:textId="77777777" w:rsidR="00B43FC9" w:rsidRDefault="00B43FC9" w:rsidP="00B43FC9">
      <w:pPr>
        <w:spacing w:before="60"/>
        <w:rPr>
          <w:rFonts w:ascii="Times New Roman" w:eastAsia="Times New Roman" w:hAnsi="Times New Roman" w:cs="Times New Roman"/>
          <w:iCs/>
          <w:szCs w:val="20"/>
          <w:lang w:val="sr-Latn-RS"/>
        </w:rPr>
      </w:pPr>
    </w:p>
    <w:p w14:paraId="1B7EC03A" w14:textId="77777777" w:rsidR="00B43FC9" w:rsidRPr="00B43FC9" w:rsidRDefault="00B43FC9" w:rsidP="00B43FC9">
      <w:pPr>
        <w:spacing w:before="60"/>
        <w:rPr>
          <w:rFonts w:ascii="Times New Roman" w:eastAsia="Times New Roman" w:hAnsi="Times New Roman" w:cs="Times New Roman"/>
          <w:iCs/>
          <w:szCs w:val="20"/>
          <w:lang w:val="sr-Latn-RS"/>
        </w:rPr>
      </w:pPr>
    </w:p>
    <w:p w14:paraId="49C588BD" w14:textId="77777777" w:rsidR="004A5258" w:rsidRPr="00CD3039" w:rsidRDefault="004A5258" w:rsidP="00B43FC9">
      <w:pPr>
        <w:rPr>
          <w:rFonts w:ascii="Times New Roman" w:eastAsia="Times New Roman" w:hAnsi="Times New Roman" w:cs="Times New Roman"/>
          <w:iCs/>
          <w:szCs w:val="20"/>
          <w:lang w:val="sr-Cyrl-RS"/>
        </w:rPr>
        <w:sectPr w:rsidR="004A5258" w:rsidRPr="00CD3039" w:rsidSect="00366EA3">
          <w:type w:val="continuous"/>
          <w:pgSz w:w="11906" w:h="16838"/>
          <w:pgMar w:top="1134" w:right="1134" w:bottom="1134" w:left="1134" w:header="708" w:footer="708" w:gutter="0"/>
          <w:cols w:num="2" w:space="284"/>
          <w:docGrid w:linePitch="360"/>
        </w:sectPr>
      </w:pPr>
    </w:p>
    <w:p w14:paraId="3A1B8F68" w14:textId="77777777" w:rsidR="001F58A6" w:rsidRPr="00CD3039" w:rsidRDefault="00BB52DC" w:rsidP="00B43FC9">
      <w:pPr>
        <w:spacing w:before="120"/>
        <w:jc w:val="center"/>
        <w:rPr>
          <w:rFonts w:ascii="Times New Roman" w:eastAsia="Times New Roman" w:hAnsi="Times New Roman" w:cs="Times New Roman"/>
          <w:iCs/>
          <w:szCs w:val="20"/>
          <w:lang w:val="sr-Cyrl-RS"/>
        </w:rPr>
      </w:pPr>
      <w:r>
        <w:rPr>
          <w:rFonts w:ascii="Times New Roman" w:eastAsia="Times New Roman" w:hAnsi="Times New Roman" w:cs="Times New Roman"/>
          <w:iCs/>
          <w:szCs w:val="20"/>
          <w:lang w:val="sr-Cyrl-RS"/>
        </w:rPr>
        <w:lastRenderedPageBreak/>
        <w:pict w14:anchorId="38360733">
          <v:shape id="_x0000_i1028" type="#_x0000_t75" style="width:480.2pt;height:160.9pt">
            <v:imagedata r:id="rId18" o:title="Capture" croptop="3745f" cropbottom="4547f"/>
          </v:shape>
        </w:pict>
      </w:r>
    </w:p>
    <w:p w14:paraId="4E594CF7" w14:textId="77777777" w:rsidR="00192A6B" w:rsidRPr="00CD3039" w:rsidRDefault="00EE09B7" w:rsidP="00B43FC9">
      <w:pPr>
        <w:spacing w:before="120" w:after="120"/>
        <w:jc w:val="center"/>
        <w:rPr>
          <w:rFonts w:ascii="Times New Roman" w:eastAsia="Times New Roman" w:hAnsi="Times New Roman" w:cs="Times New Roman"/>
          <w:i/>
          <w:iCs/>
          <w:szCs w:val="20"/>
          <w:lang w:val="sr-Cyrl-RS"/>
        </w:rPr>
      </w:pPr>
      <w:r w:rsidRPr="00CD3039">
        <w:rPr>
          <w:rFonts w:ascii="Times New Roman" w:eastAsia="Times New Roman" w:hAnsi="Times New Roman" w:cs="Times New Roman"/>
          <w:iCs/>
          <w:szCs w:val="20"/>
          <w:lang w:val="sr-Cyrl-RS"/>
        </w:rPr>
        <w:t>Слика 8</w:t>
      </w:r>
      <w:r w:rsidR="001F58A6" w:rsidRPr="00CD3039">
        <w:rPr>
          <w:rFonts w:ascii="Times New Roman" w:eastAsia="Times New Roman" w:hAnsi="Times New Roman" w:cs="Times New Roman"/>
          <w:iCs/>
          <w:szCs w:val="20"/>
          <w:lang w:val="sr-Cyrl-RS"/>
        </w:rPr>
        <w:t xml:space="preserve">. </w:t>
      </w:r>
      <w:r w:rsidRPr="00CD3039">
        <w:rPr>
          <w:rFonts w:ascii="Times New Roman" w:eastAsia="Times New Roman" w:hAnsi="Times New Roman" w:cs="Times New Roman"/>
          <w:i/>
          <w:iCs/>
          <w:szCs w:val="20"/>
          <w:lang w:val="sr-Cyrl-RS"/>
        </w:rPr>
        <w:t>Стабло одлуке за категорију ниво оспособљености за ход</w:t>
      </w:r>
    </w:p>
    <w:p w14:paraId="52EA84CF" w14:textId="77777777" w:rsidR="004A5258" w:rsidRPr="00CD3039" w:rsidRDefault="004A5258" w:rsidP="00B43FC9">
      <w:pPr>
        <w:ind w:firstLine="360"/>
        <w:jc w:val="center"/>
        <w:rPr>
          <w:rFonts w:ascii="Times New Roman" w:eastAsia="Times New Roman" w:hAnsi="Times New Roman" w:cs="Times New Roman"/>
          <w:iCs/>
          <w:szCs w:val="20"/>
          <w:lang w:val="sr-Cyrl-RS"/>
        </w:rPr>
        <w:sectPr w:rsidR="004A5258" w:rsidRPr="00CD3039" w:rsidSect="004A5258">
          <w:type w:val="continuous"/>
          <w:pgSz w:w="11906" w:h="16838"/>
          <w:pgMar w:top="1134" w:right="1134" w:bottom="1134" w:left="1134" w:header="708" w:footer="708" w:gutter="0"/>
          <w:cols w:space="284"/>
          <w:docGrid w:linePitch="360"/>
        </w:sectPr>
      </w:pPr>
    </w:p>
    <w:p w14:paraId="09F5D451" w14:textId="77777777" w:rsidR="00B32EF0" w:rsidRPr="00CD3039" w:rsidRDefault="00B32EF0" w:rsidP="00B43FC9">
      <w:pPr>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lastRenderedPageBreak/>
        <w:t>За предвиђање К-нивоа и тестова хода, на основу њихових стабла одлуке, за класификацију потребно је додати параметре мишићне снаге екстензора кука и плантарног флексора интактног екстремитета.</w:t>
      </w:r>
    </w:p>
    <w:p w14:paraId="36DED61B" w14:textId="77777777" w:rsidR="00B32EF0" w:rsidRPr="00CD3039" w:rsidRDefault="00B32EF0" w:rsidP="00B43FC9">
      <w:pPr>
        <w:rPr>
          <w:rFonts w:ascii="Times New Roman" w:eastAsia="Times New Roman" w:hAnsi="Times New Roman" w:cs="Times New Roman"/>
          <w:iCs/>
          <w:szCs w:val="20"/>
          <w:lang w:val="sr-Cyrl-RS"/>
        </w:rPr>
      </w:pPr>
    </w:p>
    <w:p w14:paraId="36297E3E" w14:textId="77777777" w:rsidR="00B32EF0" w:rsidRPr="00CD3039" w:rsidRDefault="00B32EF0" w:rsidP="00B43FC9">
      <w:pPr>
        <w:spacing w:before="60"/>
        <w:rPr>
          <w:rFonts w:ascii="Times New Roman" w:eastAsia="Times New Roman" w:hAnsi="Times New Roman" w:cs="Times New Roman"/>
          <w:b/>
          <w:iCs/>
          <w:szCs w:val="20"/>
          <w:lang w:val="sr-Cyrl-RS"/>
        </w:rPr>
      </w:pPr>
      <w:r w:rsidRPr="00CD3039">
        <w:rPr>
          <w:rFonts w:ascii="Times New Roman" w:eastAsia="Times New Roman" w:hAnsi="Times New Roman" w:cs="Times New Roman"/>
          <w:b/>
          <w:iCs/>
          <w:szCs w:val="20"/>
          <w:lang w:val="sr-Cyrl-RS"/>
        </w:rPr>
        <w:t>4. РЕЗУЛТАТИ</w:t>
      </w:r>
    </w:p>
    <w:p w14:paraId="70DCED22" w14:textId="062BA54B" w:rsidR="00EE09B7" w:rsidRPr="00CD3039" w:rsidRDefault="00B32EF0" w:rsidP="00B43FC9">
      <w:pPr>
        <w:spacing w:before="120"/>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Обележја</w:t>
      </w:r>
      <w:r w:rsidR="00B43FC9">
        <w:rPr>
          <w:rFonts w:ascii="Times New Roman" w:eastAsia="Times New Roman" w:hAnsi="Times New Roman" w:cs="Times New Roman"/>
          <w:iCs/>
          <w:szCs w:val="20"/>
          <w:lang w:val="sr-Latn-RS"/>
        </w:rPr>
        <w:t xml:space="preserve"> </w:t>
      </w:r>
      <w:r w:rsidRPr="00CD3039">
        <w:rPr>
          <w:rFonts w:ascii="Times New Roman" w:eastAsia="Times New Roman" w:hAnsi="Times New Roman" w:cs="Times New Roman"/>
          <w:iCs/>
          <w:szCs w:val="20"/>
          <w:lang w:val="sr-Cyrl-RS"/>
        </w:rPr>
        <w:t xml:space="preserve">изабрана од стране стабла одлуке </w:t>
      </w:r>
      <w:r w:rsidR="00CD3039" w:rsidRPr="00CD3039">
        <w:rPr>
          <w:rFonts w:ascii="Times New Roman" w:eastAsia="Times New Roman" w:hAnsi="Times New Roman" w:cs="Times New Roman"/>
          <w:iCs/>
          <w:szCs w:val="20"/>
          <w:lang w:val="sr-Cyrl-RS"/>
        </w:rPr>
        <w:t>просле</w:t>
      </w:r>
      <w:r w:rsidR="00B43FC9">
        <w:rPr>
          <w:rFonts w:ascii="Times New Roman" w:eastAsia="Times New Roman" w:hAnsi="Times New Roman" w:cs="Times New Roman"/>
          <w:iCs/>
          <w:szCs w:val="20"/>
          <w:lang w:val="sr-Latn-RS"/>
        </w:rPr>
        <w:softHyphen/>
      </w:r>
      <w:r w:rsidR="00CD3039" w:rsidRPr="00CD3039">
        <w:rPr>
          <w:rFonts w:ascii="Times New Roman" w:eastAsia="Times New Roman" w:hAnsi="Times New Roman" w:cs="Times New Roman"/>
          <w:iCs/>
          <w:szCs w:val="20"/>
          <w:lang w:val="sr-Cyrl-RS"/>
        </w:rPr>
        <w:t>ђена</w:t>
      </w:r>
      <w:r w:rsidRPr="00CD3039">
        <w:rPr>
          <w:rFonts w:ascii="Times New Roman" w:eastAsia="Times New Roman" w:hAnsi="Times New Roman" w:cs="Times New Roman"/>
          <w:iCs/>
          <w:szCs w:val="20"/>
          <w:lang w:val="sr-Cyrl-RS"/>
        </w:rPr>
        <w:t xml:space="preserve"> су SVM (енгл. </w:t>
      </w:r>
      <w:r w:rsidRPr="00CD3039">
        <w:rPr>
          <w:rFonts w:ascii="Times New Roman" w:eastAsia="Times New Roman" w:hAnsi="Times New Roman" w:cs="Times New Roman"/>
          <w:i/>
          <w:iCs/>
          <w:szCs w:val="20"/>
          <w:lang w:val="sr-Cyrl-RS"/>
        </w:rPr>
        <w:t>support</w:t>
      </w:r>
      <w:r w:rsidRPr="00CD3039">
        <w:rPr>
          <w:rFonts w:ascii="Times New Roman" w:eastAsia="Times New Roman" w:hAnsi="Times New Roman" w:cs="Times New Roman"/>
          <w:iCs/>
          <w:szCs w:val="20"/>
          <w:lang w:val="sr-Cyrl-RS"/>
        </w:rPr>
        <w:t xml:space="preserve"> </w:t>
      </w:r>
      <w:r w:rsidRPr="00CD3039">
        <w:rPr>
          <w:rFonts w:ascii="Times New Roman" w:eastAsia="Times New Roman" w:hAnsi="Times New Roman" w:cs="Times New Roman"/>
          <w:i/>
          <w:iCs/>
          <w:szCs w:val="20"/>
          <w:lang w:val="sr-Cyrl-RS"/>
        </w:rPr>
        <w:t>vector</w:t>
      </w:r>
      <w:r w:rsidRPr="00CD3039">
        <w:rPr>
          <w:rFonts w:ascii="Times New Roman" w:eastAsia="Times New Roman" w:hAnsi="Times New Roman" w:cs="Times New Roman"/>
          <w:iCs/>
          <w:szCs w:val="20"/>
          <w:lang w:val="sr-Cyrl-RS"/>
        </w:rPr>
        <w:t xml:space="preserve"> </w:t>
      </w:r>
      <w:r w:rsidRPr="00CD3039">
        <w:rPr>
          <w:rFonts w:ascii="Times New Roman" w:eastAsia="Times New Roman" w:hAnsi="Times New Roman" w:cs="Times New Roman"/>
          <w:i/>
          <w:iCs/>
          <w:szCs w:val="20"/>
          <w:lang w:val="sr-Cyrl-RS"/>
        </w:rPr>
        <w:t>machine</w:t>
      </w:r>
      <w:r w:rsidRPr="00CD3039">
        <w:rPr>
          <w:rFonts w:ascii="Times New Roman" w:eastAsia="Times New Roman" w:hAnsi="Times New Roman" w:cs="Times New Roman"/>
          <w:iCs/>
          <w:szCs w:val="20"/>
          <w:lang w:val="sr-Cyrl-RS"/>
        </w:rPr>
        <w:t>) класифи</w:t>
      </w:r>
      <w:r w:rsidR="00B43FC9">
        <w:rPr>
          <w:rFonts w:ascii="Times New Roman" w:eastAsia="Times New Roman" w:hAnsi="Times New Roman" w:cs="Times New Roman"/>
          <w:iCs/>
          <w:szCs w:val="20"/>
          <w:lang w:val="sr-Latn-RS"/>
        </w:rPr>
        <w:softHyphen/>
      </w:r>
      <w:r w:rsidRPr="00CD3039">
        <w:rPr>
          <w:rFonts w:ascii="Times New Roman" w:eastAsia="Times New Roman" w:hAnsi="Times New Roman" w:cs="Times New Roman"/>
          <w:iCs/>
          <w:szCs w:val="20"/>
          <w:lang w:val="sr-Cyrl-RS"/>
        </w:rPr>
        <w:t>катору, који у простору у коме су подаци представ</w:t>
      </w:r>
      <w:r w:rsidR="00B43FC9">
        <w:rPr>
          <w:rFonts w:ascii="Times New Roman" w:eastAsia="Times New Roman" w:hAnsi="Times New Roman" w:cs="Times New Roman"/>
          <w:iCs/>
          <w:szCs w:val="20"/>
          <w:lang w:val="sr-Latn-RS"/>
        </w:rPr>
        <w:softHyphen/>
      </w:r>
      <w:r w:rsidRPr="00CD3039">
        <w:rPr>
          <w:rFonts w:ascii="Times New Roman" w:eastAsia="Times New Roman" w:hAnsi="Times New Roman" w:cs="Times New Roman"/>
          <w:iCs/>
          <w:szCs w:val="20"/>
          <w:lang w:val="sr-Cyrl-RS"/>
        </w:rPr>
        <w:t xml:space="preserve">љени налази раздвајајуће хипер-равни на основу који </w:t>
      </w:r>
      <w:r w:rsidR="00CD3039" w:rsidRPr="00CD3039">
        <w:rPr>
          <w:rFonts w:ascii="Times New Roman" w:eastAsia="Times New Roman" w:hAnsi="Times New Roman" w:cs="Times New Roman"/>
          <w:iCs/>
          <w:szCs w:val="20"/>
          <w:lang w:val="sr-Cyrl-RS"/>
        </w:rPr>
        <w:t>сврстава</w:t>
      </w:r>
      <w:r w:rsidRPr="00CD3039">
        <w:rPr>
          <w:rFonts w:ascii="Times New Roman" w:eastAsia="Times New Roman" w:hAnsi="Times New Roman" w:cs="Times New Roman"/>
          <w:iCs/>
          <w:szCs w:val="20"/>
          <w:lang w:val="sr-Cyrl-RS"/>
        </w:rPr>
        <w:t xml:space="preserve"> узорке у одређену </w:t>
      </w:r>
      <w:r w:rsidR="00CD3039" w:rsidRPr="00CD3039">
        <w:rPr>
          <w:rFonts w:ascii="Times New Roman" w:eastAsia="Times New Roman" w:hAnsi="Times New Roman" w:cs="Times New Roman"/>
          <w:iCs/>
          <w:szCs w:val="20"/>
          <w:lang w:val="sr-Cyrl-RS"/>
        </w:rPr>
        <w:t>класу</w:t>
      </w:r>
      <w:r w:rsidRPr="00CD3039">
        <w:rPr>
          <w:rFonts w:ascii="Times New Roman" w:eastAsia="Times New Roman" w:hAnsi="Times New Roman" w:cs="Times New Roman"/>
          <w:iCs/>
          <w:szCs w:val="20"/>
          <w:lang w:val="sr-Cyrl-RS"/>
        </w:rPr>
        <w:t>.</w:t>
      </w:r>
    </w:p>
    <w:p w14:paraId="66821EAB" w14:textId="2E287584" w:rsidR="008662EC" w:rsidRPr="00CD3039" w:rsidRDefault="00B32EF0" w:rsidP="00B43FC9">
      <w:pPr>
        <w:spacing w:before="60"/>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Да би се предста</w:t>
      </w:r>
      <w:r w:rsidR="008662EC" w:rsidRPr="00CD3039">
        <w:rPr>
          <w:rFonts w:ascii="Times New Roman" w:eastAsia="Times New Roman" w:hAnsi="Times New Roman" w:cs="Times New Roman"/>
          <w:iCs/>
          <w:szCs w:val="20"/>
          <w:lang w:val="sr-Cyrl-RS"/>
        </w:rPr>
        <w:t>вил</w:t>
      </w:r>
      <w:r w:rsidR="00CD3039">
        <w:rPr>
          <w:rFonts w:ascii="Times New Roman" w:eastAsia="Times New Roman" w:hAnsi="Times New Roman" w:cs="Times New Roman"/>
          <w:iCs/>
          <w:szCs w:val="20"/>
          <w:lang w:val="sr-Latn-RS"/>
        </w:rPr>
        <w:t>a</w:t>
      </w:r>
      <w:r w:rsidR="008662EC" w:rsidRPr="00CD3039">
        <w:rPr>
          <w:rFonts w:ascii="Times New Roman" w:eastAsia="Times New Roman" w:hAnsi="Times New Roman" w:cs="Times New Roman"/>
          <w:iCs/>
          <w:szCs w:val="20"/>
          <w:lang w:val="sr-Cyrl-RS"/>
        </w:rPr>
        <w:t xml:space="preserve"> успешност класификационог модела, уобичајено се користе стандардизоване мере и оцене којима се квантификује рад конструисаног система за класифика</w:t>
      </w:r>
      <w:r w:rsidRPr="00CD3039">
        <w:rPr>
          <w:rFonts w:ascii="Times New Roman" w:eastAsia="Times New Roman" w:hAnsi="Times New Roman" w:cs="Times New Roman"/>
          <w:iCs/>
          <w:szCs w:val="20"/>
          <w:lang w:val="sr-Cyrl-RS"/>
        </w:rPr>
        <w:t>цију и предикцију.</w:t>
      </w:r>
      <w:r w:rsidR="008662EC" w:rsidRPr="00CD3039">
        <w:rPr>
          <w:rFonts w:ascii="Times New Roman" w:eastAsia="Times New Roman" w:hAnsi="Times New Roman" w:cs="Times New Roman"/>
          <w:iCs/>
          <w:szCs w:val="20"/>
          <w:lang w:val="sr-Cyrl-RS"/>
        </w:rPr>
        <w:t xml:space="preserve"> Мера квали</w:t>
      </w:r>
      <w:r w:rsidR="00B43FC9">
        <w:rPr>
          <w:rFonts w:ascii="Times New Roman" w:eastAsia="Times New Roman" w:hAnsi="Times New Roman" w:cs="Times New Roman"/>
          <w:iCs/>
          <w:szCs w:val="20"/>
          <w:lang w:val="sr-Latn-RS"/>
        </w:rPr>
        <w:softHyphen/>
      </w:r>
      <w:r w:rsidR="008662EC" w:rsidRPr="00CD3039">
        <w:rPr>
          <w:rFonts w:ascii="Times New Roman" w:eastAsia="Times New Roman" w:hAnsi="Times New Roman" w:cs="Times New Roman"/>
          <w:iCs/>
          <w:szCs w:val="20"/>
          <w:lang w:val="sr-Cyrl-RS"/>
        </w:rPr>
        <w:t xml:space="preserve">тета представља потенцијал модела да коректно предвиди класу новог податка. Матрица конфузије (engl. </w:t>
      </w:r>
      <w:r w:rsidR="008662EC" w:rsidRPr="00B43FC9">
        <w:rPr>
          <w:rFonts w:ascii="Times New Roman" w:eastAsia="Times New Roman" w:hAnsi="Times New Roman" w:cs="Times New Roman"/>
          <w:i/>
          <w:iCs/>
          <w:szCs w:val="20"/>
          <w:lang w:val="sr-Cyrl-RS"/>
        </w:rPr>
        <w:t>confusion matrix</w:t>
      </w:r>
      <w:r w:rsidR="008662EC" w:rsidRPr="00CD3039">
        <w:rPr>
          <w:rFonts w:ascii="Times New Roman" w:eastAsia="Times New Roman" w:hAnsi="Times New Roman" w:cs="Times New Roman"/>
          <w:iCs/>
          <w:szCs w:val="20"/>
          <w:lang w:val="sr-Cyrl-RS"/>
        </w:rPr>
        <w:t>) представља детаљан и прегле</w:t>
      </w:r>
      <w:r w:rsidR="00B43FC9">
        <w:rPr>
          <w:rFonts w:ascii="Times New Roman" w:eastAsia="Times New Roman" w:hAnsi="Times New Roman" w:cs="Times New Roman"/>
          <w:iCs/>
          <w:szCs w:val="20"/>
          <w:lang w:val="sr-Latn-RS"/>
        </w:rPr>
        <w:softHyphen/>
      </w:r>
      <w:r w:rsidR="008662EC" w:rsidRPr="00CD3039">
        <w:rPr>
          <w:rFonts w:ascii="Times New Roman" w:eastAsia="Times New Roman" w:hAnsi="Times New Roman" w:cs="Times New Roman"/>
          <w:iCs/>
          <w:szCs w:val="20"/>
          <w:lang w:val="sr-Cyrl-RS"/>
        </w:rPr>
        <w:t>дан начин да се тај потенцијал прикаже. Табела 1 представља матрицу конфузије за категорију ниво оспособљености за ход.</w:t>
      </w:r>
    </w:p>
    <w:p w14:paraId="28DF86ED" w14:textId="77777777" w:rsidR="008A38E3" w:rsidRPr="00CD3039" w:rsidRDefault="008662EC" w:rsidP="00B43FC9">
      <w:pPr>
        <w:spacing w:before="120" w:after="120"/>
        <w:jc w:val="left"/>
        <w:rPr>
          <w:rFonts w:ascii="Times New Roman" w:eastAsia="Times New Roman" w:hAnsi="Times New Roman" w:cs="Times New Roman"/>
          <w:i/>
          <w:iCs/>
          <w:szCs w:val="20"/>
          <w:lang w:val="sr-Cyrl-RS"/>
        </w:rPr>
      </w:pPr>
      <w:r w:rsidRPr="00CD3039">
        <w:rPr>
          <w:rFonts w:ascii="Times New Roman" w:eastAsia="Times New Roman" w:hAnsi="Times New Roman" w:cs="Times New Roman"/>
          <w:iCs/>
          <w:szCs w:val="20"/>
          <w:lang w:val="sr-Cyrl-RS"/>
        </w:rPr>
        <w:t>Табела</w:t>
      </w:r>
      <w:r w:rsidR="008A38E3" w:rsidRPr="00CD3039">
        <w:rPr>
          <w:rFonts w:ascii="Times New Roman" w:eastAsia="Times New Roman" w:hAnsi="Times New Roman" w:cs="Times New Roman"/>
          <w:iCs/>
          <w:szCs w:val="20"/>
          <w:lang w:val="sr-Cyrl-RS"/>
        </w:rPr>
        <w:t xml:space="preserve"> 1. </w:t>
      </w:r>
      <w:r w:rsidRPr="00CD3039">
        <w:rPr>
          <w:rFonts w:ascii="Times New Roman" w:eastAsia="Times New Roman" w:hAnsi="Times New Roman" w:cs="Times New Roman"/>
          <w:i/>
          <w:iCs/>
          <w:szCs w:val="20"/>
          <w:lang w:val="sr-Cyrl-RS"/>
        </w:rPr>
        <w:t>Матрица конфузије нивоа оспособљености за ход</w:t>
      </w:r>
    </w:p>
    <w:tbl>
      <w:tblPr>
        <w:tblStyle w:val="TableGrid"/>
        <w:tblW w:w="0" w:type="auto"/>
        <w:jc w:val="center"/>
        <w:tblLayout w:type="fixed"/>
        <w:tblLook w:val="04A0" w:firstRow="1" w:lastRow="0" w:firstColumn="1" w:lastColumn="0" w:noHBand="0" w:noVBand="1"/>
      </w:tblPr>
      <w:tblGrid>
        <w:gridCol w:w="630"/>
        <w:gridCol w:w="39"/>
        <w:gridCol w:w="361"/>
        <w:gridCol w:w="801"/>
        <w:gridCol w:w="801"/>
        <w:gridCol w:w="770"/>
      </w:tblGrid>
      <w:tr w:rsidR="008662EC" w:rsidRPr="00B43FC9" w14:paraId="5EC31869" w14:textId="77777777" w:rsidTr="00A95873">
        <w:trPr>
          <w:trHeight w:val="391"/>
          <w:jc w:val="center"/>
        </w:trPr>
        <w:tc>
          <w:tcPr>
            <w:tcW w:w="669" w:type="dxa"/>
            <w:gridSpan w:val="2"/>
            <w:tcBorders>
              <w:top w:val="nil"/>
              <w:left w:val="nil"/>
              <w:bottom w:val="nil"/>
              <w:right w:val="nil"/>
            </w:tcBorders>
            <w:vAlign w:val="center"/>
          </w:tcPr>
          <w:p w14:paraId="2247EECB" w14:textId="77777777" w:rsidR="008662EC" w:rsidRPr="00B43FC9" w:rsidRDefault="008662EC" w:rsidP="00B43FC9">
            <w:pPr>
              <w:jc w:val="center"/>
              <w:rPr>
                <w:rFonts w:ascii="Palatino Linotype" w:hAnsi="Palatino Linotype"/>
                <w:sz w:val="18"/>
                <w:lang w:val="sr-Cyrl-RS"/>
              </w:rPr>
            </w:pPr>
          </w:p>
        </w:tc>
        <w:tc>
          <w:tcPr>
            <w:tcW w:w="361" w:type="dxa"/>
            <w:tcBorders>
              <w:top w:val="nil"/>
              <w:left w:val="nil"/>
              <w:bottom w:val="nil"/>
            </w:tcBorders>
            <w:vAlign w:val="center"/>
          </w:tcPr>
          <w:p w14:paraId="3CA09A2B" w14:textId="77777777" w:rsidR="008662EC" w:rsidRPr="00B43FC9" w:rsidRDefault="008662EC" w:rsidP="00B43FC9">
            <w:pPr>
              <w:jc w:val="center"/>
              <w:rPr>
                <w:rFonts w:ascii="Palatino Linotype" w:hAnsi="Palatino Linotype"/>
                <w:sz w:val="18"/>
                <w:lang w:val="sr-Cyrl-RS"/>
              </w:rPr>
            </w:pPr>
          </w:p>
        </w:tc>
        <w:tc>
          <w:tcPr>
            <w:tcW w:w="2372" w:type="dxa"/>
            <w:gridSpan w:val="3"/>
            <w:vAlign w:val="center"/>
          </w:tcPr>
          <w:p w14:paraId="784734D7" w14:textId="77777777" w:rsidR="008662EC" w:rsidRPr="00B43FC9" w:rsidRDefault="008662EC" w:rsidP="00B43FC9">
            <w:pPr>
              <w:jc w:val="center"/>
              <w:rPr>
                <w:rFonts w:ascii="Palatino Linotype" w:hAnsi="Palatino Linotype"/>
                <w:sz w:val="18"/>
                <w:lang w:val="sr-Cyrl-RS"/>
              </w:rPr>
            </w:pPr>
            <w:r w:rsidRPr="00B43FC9">
              <w:rPr>
                <w:rFonts w:ascii="Palatino Linotype" w:hAnsi="Palatino Linotype"/>
                <w:sz w:val="18"/>
                <w:lang w:val="sr-Cyrl-RS"/>
              </w:rPr>
              <w:t>ПРЕДВИЂЕНЕ ВРЕДНОСТИ</w:t>
            </w:r>
          </w:p>
        </w:tc>
      </w:tr>
      <w:tr w:rsidR="008662EC" w:rsidRPr="00B43FC9" w14:paraId="6BB3D73D" w14:textId="77777777" w:rsidTr="00A95873">
        <w:trPr>
          <w:trHeight w:val="423"/>
          <w:jc w:val="center"/>
        </w:trPr>
        <w:tc>
          <w:tcPr>
            <w:tcW w:w="669" w:type="dxa"/>
            <w:gridSpan w:val="2"/>
            <w:tcBorders>
              <w:top w:val="nil"/>
              <w:left w:val="nil"/>
              <w:right w:val="nil"/>
            </w:tcBorders>
            <w:vAlign w:val="center"/>
          </w:tcPr>
          <w:p w14:paraId="7D8C5B2B" w14:textId="77777777" w:rsidR="008662EC" w:rsidRPr="00B43FC9" w:rsidRDefault="008662EC" w:rsidP="00B43FC9">
            <w:pPr>
              <w:jc w:val="center"/>
              <w:rPr>
                <w:rFonts w:ascii="Palatino Linotype" w:hAnsi="Palatino Linotype"/>
                <w:sz w:val="18"/>
                <w:lang w:val="sr-Cyrl-RS"/>
              </w:rPr>
            </w:pPr>
          </w:p>
        </w:tc>
        <w:tc>
          <w:tcPr>
            <w:tcW w:w="361" w:type="dxa"/>
            <w:tcBorders>
              <w:top w:val="nil"/>
              <w:left w:val="nil"/>
            </w:tcBorders>
            <w:vAlign w:val="center"/>
          </w:tcPr>
          <w:p w14:paraId="0C927776" w14:textId="77777777" w:rsidR="008662EC" w:rsidRPr="00B43FC9" w:rsidRDefault="008662EC" w:rsidP="00B43FC9">
            <w:pPr>
              <w:jc w:val="center"/>
              <w:rPr>
                <w:rFonts w:ascii="Palatino Linotype" w:hAnsi="Palatino Linotype"/>
                <w:sz w:val="18"/>
                <w:lang w:val="sr-Cyrl-RS"/>
              </w:rPr>
            </w:pPr>
          </w:p>
        </w:tc>
        <w:tc>
          <w:tcPr>
            <w:tcW w:w="801" w:type="dxa"/>
            <w:tcBorders>
              <w:bottom w:val="single" w:sz="12" w:space="0" w:color="auto"/>
            </w:tcBorders>
            <w:vAlign w:val="center"/>
          </w:tcPr>
          <w:p w14:paraId="69FDA0A3" w14:textId="77777777" w:rsidR="008662EC" w:rsidRPr="00B43FC9" w:rsidRDefault="008662EC" w:rsidP="00B43FC9">
            <w:pPr>
              <w:jc w:val="center"/>
              <w:rPr>
                <w:rFonts w:ascii="Palatino Linotype" w:hAnsi="Palatino Linotype"/>
                <w:color w:val="0070C0"/>
                <w:sz w:val="18"/>
                <w:lang w:val="sr-Cyrl-RS"/>
              </w:rPr>
            </w:pPr>
            <w:r w:rsidRPr="00B43FC9">
              <w:rPr>
                <w:rFonts w:ascii="Palatino Linotype" w:hAnsi="Palatino Linotype"/>
                <w:color w:val="0070C0"/>
                <w:sz w:val="18"/>
                <w:lang w:val="sr-Cyrl-RS"/>
              </w:rPr>
              <w:t>1</w:t>
            </w:r>
          </w:p>
        </w:tc>
        <w:tc>
          <w:tcPr>
            <w:tcW w:w="801" w:type="dxa"/>
            <w:tcBorders>
              <w:bottom w:val="single" w:sz="12" w:space="0" w:color="auto"/>
            </w:tcBorders>
            <w:vAlign w:val="center"/>
          </w:tcPr>
          <w:p w14:paraId="420884F3" w14:textId="77777777" w:rsidR="008662EC" w:rsidRPr="00B43FC9" w:rsidRDefault="008662EC" w:rsidP="00B43FC9">
            <w:pPr>
              <w:jc w:val="center"/>
              <w:rPr>
                <w:rFonts w:ascii="Palatino Linotype" w:hAnsi="Palatino Linotype"/>
                <w:color w:val="0070C0"/>
                <w:sz w:val="18"/>
                <w:lang w:val="sr-Cyrl-RS"/>
              </w:rPr>
            </w:pPr>
            <w:r w:rsidRPr="00B43FC9">
              <w:rPr>
                <w:rFonts w:ascii="Palatino Linotype" w:hAnsi="Palatino Linotype"/>
                <w:color w:val="0070C0"/>
                <w:sz w:val="18"/>
                <w:lang w:val="sr-Cyrl-RS"/>
              </w:rPr>
              <w:t>2</w:t>
            </w:r>
          </w:p>
        </w:tc>
        <w:tc>
          <w:tcPr>
            <w:tcW w:w="770" w:type="dxa"/>
            <w:tcBorders>
              <w:bottom w:val="single" w:sz="12" w:space="0" w:color="auto"/>
            </w:tcBorders>
            <w:vAlign w:val="center"/>
          </w:tcPr>
          <w:p w14:paraId="5BE14228" w14:textId="77777777" w:rsidR="008662EC" w:rsidRPr="00B43FC9" w:rsidRDefault="008662EC" w:rsidP="00B43FC9">
            <w:pPr>
              <w:jc w:val="center"/>
              <w:rPr>
                <w:rFonts w:ascii="Palatino Linotype" w:hAnsi="Palatino Linotype"/>
                <w:color w:val="0070C0"/>
                <w:sz w:val="18"/>
                <w:lang w:val="sr-Cyrl-RS"/>
              </w:rPr>
            </w:pPr>
            <w:r w:rsidRPr="00B43FC9">
              <w:rPr>
                <w:rFonts w:ascii="Palatino Linotype" w:hAnsi="Palatino Linotype"/>
                <w:color w:val="0070C0"/>
                <w:sz w:val="18"/>
                <w:lang w:val="sr-Cyrl-RS"/>
              </w:rPr>
              <w:t>3</w:t>
            </w:r>
          </w:p>
        </w:tc>
      </w:tr>
      <w:tr w:rsidR="008662EC" w:rsidRPr="00B43FC9" w14:paraId="03231F07" w14:textId="77777777" w:rsidTr="00A95873">
        <w:trPr>
          <w:trHeight w:val="726"/>
          <w:jc w:val="center"/>
        </w:trPr>
        <w:tc>
          <w:tcPr>
            <w:tcW w:w="630" w:type="dxa"/>
            <w:vMerge w:val="restart"/>
            <w:textDirection w:val="btLr"/>
            <w:vAlign w:val="center"/>
          </w:tcPr>
          <w:p w14:paraId="6D552FC6" w14:textId="77777777" w:rsidR="008662EC" w:rsidRPr="00B43FC9" w:rsidRDefault="008662EC" w:rsidP="00B43FC9">
            <w:pPr>
              <w:ind w:left="113" w:right="113"/>
              <w:jc w:val="center"/>
              <w:rPr>
                <w:rFonts w:ascii="Palatino Linotype" w:hAnsi="Palatino Linotype"/>
                <w:sz w:val="18"/>
                <w:lang w:val="sr-Cyrl-RS"/>
              </w:rPr>
            </w:pPr>
            <w:r w:rsidRPr="00B43FC9">
              <w:rPr>
                <w:rFonts w:ascii="Palatino Linotype" w:hAnsi="Palatino Linotype"/>
                <w:sz w:val="18"/>
                <w:lang w:val="sr-Cyrl-RS"/>
              </w:rPr>
              <w:t>ПРАВЕ ВРЕДНОСТИ</w:t>
            </w:r>
          </w:p>
        </w:tc>
        <w:tc>
          <w:tcPr>
            <w:tcW w:w="400" w:type="dxa"/>
            <w:gridSpan w:val="2"/>
            <w:tcBorders>
              <w:right w:val="single" w:sz="12" w:space="0" w:color="auto"/>
            </w:tcBorders>
            <w:vAlign w:val="center"/>
          </w:tcPr>
          <w:p w14:paraId="7816BF6E" w14:textId="77777777" w:rsidR="008662EC" w:rsidRPr="00B43FC9" w:rsidRDefault="008662EC" w:rsidP="00B43FC9">
            <w:pPr>
              <w:jc w:val="center"/>
              <w:rPr>
                <w:rFonts w:ascii="Palatino Linotype" w:hAnsi="Palatino Linotype"/>
                <w:color w:val="0070C0"/>
                <w:sz w:val="18"/>
                <w:lang w:val="sr-Cyrl-RS"/>
              </w:rPr>
            </w:pPr>
            <w:r w:rsidRPr="00B43FC9">
              <w:rPr>
                <w:rFonts w:ascii="Palatino Linotype" w:hAnsi="Palatino Linotype"/>
                <w:color w:val="0070C0"/>
                <w:sz w:val="18"/>
                <w:lang w:val="sr-Cyrl-RS"/>
              </w:rPr>
              <w:t>1</w:t>
            </w:r>
          </w:p>
        </w:tc>
        <w:tc>
          <w:tcPr>
            <w:tcW w:w="801" w:type="dxa"/>
            <w:tcBorders>
              <w:top w:val="single" w:sz="12" w:space="0" w:color="auto"/>
              <w:left w:val="single" w:sz="12" w:space="0" w:color="auto"/>
              <w:bottom w:val="single" w:sz="12" w:space="0" w:color="auto"/>
              <w:right w:val="single" w:sz="12" w:space="0" w:color="auto"/>
            </w:tcBorders>
            <w:shd w:val="clear" w:color="auto" w:fill="FFCCCC"/>
            <w:vAlign w:val="center"/>
          </w:tcPr>
          <w:p w14:paraId="1BBACC95" w14:textId="77777777" w:rsidR="008662EC" w:rsidRPr="00B43FC9" w:rsidRDefault="008662EC" w:rsidP="00B43FC9">
            <w:pPr>
              <w:jc w:val="center"/>
              <w:rPr>
                <w:rFonts w:ascii="Palatino Linotype" w:hAnsi="Palatino Linotype"/>
                <w:color w:val="CC0000"/>
                <w:sz w:val="18"/>
                <w:lang w:val="sr-Cyrl-RS"/>
              </w:rPr>
            </w:pPr>
            <w:r w:rsidRPr="00B43FC9">
              <w:rPr>
                <w:rFonts w:ascii="Palatino Linotype" w:hAnsi="Palatino Linotype"/>
                <w:color w:val="CC0000"/>
                <w:sz w:val="18"/>
                <w:lang w:val="sr-Cyrl-RS"/>
              </w:rPr>
              <w:t>50</w:t>
            </w:r>
          </w:p>
        </w:tc>
        <w:tc>
          <w:tcPr>
            <w:tcW w:w="801" w:type="dxa"/>
            <w:tcBorders>
              <w:top w:val="single" w:sz="12" w:space="0" w:color="auto"/>
              <w:left w:val="single" w:sz="12" w:space="0" w:color="auto"/>
              <w:bottom w:val="single" w:sz="12" w:space="0" w:color="auto"/>
              <w:right w:val="single" w:sz="12" w:space="0" w:color="auto"/>
            </w:tcBorders>
            <w:vAlign w:val="center"/>
          </w:tcPr>
          <w:p w14:paraId="68474013" w14:textId="77777777" w:rsidR="008662EC" w:rsidRPr="00B43FC9" w:rsidRDefault="008662EC" w:rsidP="00B43FC9">
            <w:pPr>
              <w:jc w:val="center"/>
              <w:rPr>
                <w:rFonts w:ascii="Palatino Linotype" w:hAnsi="Palatino Linotype"/>
                <w:sz w:val="18"/>
                <w:lang w:val="sr-Cyrl-RS"/>
              </w:rPr>
            </w:pPr>
            <w:r w:rsidRPr="00B43FC9">
              <w:rPr>
                <w:rFonts w:ascii="Palatino Linotype" w:hAnsi="Palatino Linotype"/>
                <w:sz w:val="18"/>
                <w:lang w:val="sr-Cyrl-RS"/>
              </w:rPr>
              <w:t>4</w:t>
            </w:r>
          </w:p>
        </w:tc>
        <w:tc>
          <w:tcPr>
            <w:tcW w:w="770" w:type="dxa"/>
            <w:tcBorders>
              <w:top w:val="single" w:sz="12" w:space="0" w:color="auto"/>
              <w:left w:val="single" w:sz="12" w:space="0" w:color="auto"/>
              <w:bottom w:val="single" w:sz="12" w:space="0" w:color="auto"/>
              <w:right w:val="single" w:sz="12" w:space="0" w:color="auto"/>
            </w:tcBorders>
            <w:vAlign w:val="center"/>
          </w:tcPr>
          <w:p w14:paraId="107211D7" w14:textId="77777777" w:rsidR="008662EC" w:rsidRPr="00B43FC9" w:rsidRDefault="008662EC" w:rsidP="00B43FC9">
            <w:pPr>
              <w:jc w:val="center"/>
              <w:rPr>
                <w:rFonts w:ascii="Palatino Linotype" w:hAnsi="Palatino Linotype"/>
                <w:sz w:val="18"/>
                <w:lang w:val="sr-Cyrl-RS"/>
              </w:rPr>
            </w:pPr>
            <w:r w:rsidRPr="00B43FC9">
              <w:rPr>
                <w:rFonts w:ascii="Palatino Linotype" w:hAnsi="Palatino Linotype"/>
                <w:sz w:val="18"/>
                <w:lang w:val="sr-Cyrl-RS"/>
              </w:rPr>
              <w:t>0</w:t>
            </w:r>
          </w:p>
        </w:tc>
      </w:tr>
      <w:tr w:rsidR="008662EC" w:rsidRPr="00B43FC9" w14:paraId="4ED87684" w14:textId="77777777" w:rsidTr="00A95873">
        <w:trPr>
          <w:trHeight w:val="646"/>
          <w:jc w:val="center"/>
        </w:trPr>
        <w:tc>
          <w:tcPr>
            <w:tcW w:w="630" w:type="dxa"/>
            <w:vMerge/>
            <w:vAlign w:val="center"/>
          </w:tcPr>
          <w:p w14:paraId="756A12AD" w14:textId="77777777" w:rsidR="008662EC" w:rsidRPr="00B43FC9" w:rsidRDefault="008662EC" w:rsidP="00B43FC9">
            <w:pPr>
              <w:jc w:val="center"/>
              <w:rPr>
                <w:rFonts w:ascii="Palatino Linotype" w:hAnsi="Palatino Linotype"/>
                <w:sz w:val="18"/>
                <w:lang w:val="sr-Cyrl-RS"/>
              </w:rPr>
            </w:pPr>
          </w:p>
        </w:tc>
        <w:tc>
          <w:tcPr>
            <w:tcW w:w="400" w:type="dxa"/>
            <w:gridSpan w:val="2"/>
            <w:tcBorders>
              <w:right w:val="single" w:sz="12" w:space="0" w:color="auto"/>
            </w:tcBorders>
            <w:vAlign w:val="center"/>
          </w:tcPr>
          <w:p w14:paraId="015B6D77" w14:textId="77777777" w:rsidR="008662EC" w:rsidRPr="00B43FC9" w:rsidRDefault="008662EC" w:rsidP="00B43FC9">
            <w:pPr>
              <w:jc w:val="center"/>
              <w:rPr>
                <w:rFonts w:ascii="Palatino Linotype" w:hAnsi="Palatino Linotype"/>
                <w:color w:val="0070C0"/>
                <w:sz w:val="18"/>
                <w:lang w:val="sr-Cyrl-RS"/>
              </w:rPr>
            </w:pPr>
            <w:r w:rsidRPr="00B43FC9">
              <w:rPr>
                <w:rFonts w:ascii="Palatino Linotype" w:hAnsi="Palatino Linotype"/>
                <w:color w:val="0070C0"/>
                <w:sz w:val="18"/>
                <w:lang w:val="sr-Cyrl-RS"/>
              </w:rPr>
              <w:t>2</w:t>
            </w:r>
          </w:p>
        </w:tc>
        <w:tc>
          <w:tcPr>
            <w:tcW w:w="801" w:type="dxa"/>
            <w:tcBorders>
              <w:top w:val="single" w:sz="12" w:space="0" w:color="auto"/>
              <w:left w:val="single" w:sz="12" w:space="0" w:color="auto"/>
              <w:bottom w:val="single" w:sz="12" w:space="0" w:color="auto"/>
              <w:right w:val="single" w:sz="12" w:space="0" w:color="auto"/>
            </w:tcBorders>
            <w:vAlign w:val="center"/>
          </w:tcPr>
          <w:p w14:paraId="2B8326F4" w14:textId="77777777" w:rsidR="008662EC" w:rsidRPr="00B43FC9" w:rsidRDefault="008662EC" w:rsidP="00B43FC9">
            <w:pPr>
              <w:jc w:val="center"/>
              <w:rPr>
                <w:rFonts w:ascii="Palatino Linotype" w:hAnsi="Palatino Linotype"/>
                <w:sz w:val="18"/>
                <w:lang w:val="sr-Cyrl-RS"/>
              </w:rPr>
            </w:pPr>
            <w:r w:rsidRPr="00B43FC9">
              <w:rPr>
                <w:rFonts w:ascii="Palatino Linotype" w:hAnsi="Palatino Linotype"/>
                <w:sz w:val="18"/>
                <w:lang w:val="sr-Cyrl-RS"/>
              </w:rPr>
              <w:t>7</w:t>
            </w:r>
          </w:p>
        </w:tc>
        <w:tc>
          <w:tcPr>
            <w:tcW w:w="801" w:type="dxa"/>
            <w:tcBorders>
              <w:top w:val="single" w:sz="12" w:space="0" w:color="auto"/>
              <w:left w:val="single" w:sz="12" w:space="0" w:color="auto"/>
              <w:bottom w:val="single" w:sz="12" w:space="0" w:color="auto"/>
              <w:right w:val="single" w:sz="12" w:space="0" w:color="auto"/>
            </w:tcBorders>
            <w:shd w:val="clear" w:color="auto" w:fill="FFCCCC"/>
            <w:vAlign w:val="center"/>
          </w:tcPr>
          <w:p w14:paraId="617A255F" w14:textId="77777777" w:rsidR="008662EC" w:rsidRPr="00B43FC9" w:rsidRDefault="008662EC" w:rsidP="00B43FC9">
            <w:pPr>
              <w:jc w:val="center"/>
              <w:rPr>
                <w:rFonts w:ascii="Palatino Linotype" w:hAnsi="Palatino Linotype"/>
                <w:color w:val="CC0000"/>
                <w:sz w:val="18"/>
                <w:lang w:val="sr-Cyrl-RS"/>
              </w:rPr>
            </w:pPr>
            <w:r w:rsidRPr="00B43FC9">
              <w:rPr>
                <w:rFonts w:ascii="Palatino Linotype" w:hAnsi="Palatino Linotype"/>
                <w:color w:val="CC0000"/>
                <w:sz w:val="18"/>
                <w:lang w:val="sr-Cyrl-RS"/>
              </w:rPr>
              <w:t>38</w:t>
            </w:r>
          </w:p>
        </w:tc>
        <w:tc>
          <w:tcPr>
            <w:tcW w:w="770" w:type="dxa"/>
            <w:tcBorders>
              <w:top w:val="single" w:sz="12" w:space="0" w:color="auto"/>
              <w:left w:val="single" w:sz="12" w:space="0" w:color="auto"/>
              <w:bottom w:val="single" w:sz="12" w:space="0" w:color="auto"/>
              <w:right w:val="single" w:sz="12" w:space="0" w:color="auto"/>
            </w:tcBorders>
            <w:vAlign w:val="center"/>
          </w:tcPr>
          <w:p w14:paraId="25F8A4D6" w14:textId="77777777" w:rsidR="008662EC" w:rsidRPr="00B43FC9" w:rsidRDefault="008662EC" w:rsidP="00B43FC9">
            <w:pPr>
              <w:jc w:val="center"/>
              <w:rPr>
                <w:rFonts w:ascii="Palatino Linotype" w:hAnsi="Palatino Linotype"/>
                <w:sz w:val="18"/>
                <w:lang w:val="sr-Cyrl-RS"/>
              </w:rPr>
            </w:pPr>
            <w:r w:rsidRPr="00B43FC9">
              <w:rPr>
                <w:rFonts w:ascii="Palatino Linotype" w:hAnsi="Palatino Linotype"/>
                <w:sz w:val="18"/>
                <w:lang w:val="sr-Cyrl-RS"/>
              </w:rPr>
              <w:t>9</w:t>
            </w:r>
          </w:p>
        </w:tc>
      </w:tr>
      <w:tr w:rsidR="008662EC" w:rsidRPr="00B43FC9" w14:paraId="1E3ABB1C" w14:textId="77777777" w:rsidTr="00A95873">
        <w:trPr>
          <w:trHeight w:val="717"/>
          <w:jc w:val="center"/>
        </w:trPr>
        <w:tc>
          <w:tcPr>
            <w:tcW w:w="630" w:type="dxa"/>
            <w:vMerge/>
            <w:vAlign w:val="center"/>
          </w:tcPr>
          <w:p w14:paraId="61477873" w14:textId="77777777" w:rsidR="008662EC" w:rsidRPr="00B43FC9" w:rsidRDefault="008662EC" w:rsidP="00B43FC9">
            <w:pPr>
              <w:jc w:val="center"/>
              <w:rPr>
                <w:rFonts w:ascii="Palatino Linotype" w:hAnsi="Palatino Linotype"/>
                <w:sz w:val="18"/>
                <w:lang w:val="sr-Cyrl-RS"/>
              </w:rPr>
            </w:pPr>
          </w:p>
        </w:tc>
        <w:tc>
          <w:tcPr>
            <w:tcW w:w="400" w:type="dxa"/>
            <w:gridSpan w:val="2"/>
            <w:tcBorders>
              <w:right w:val="single" w:sz="12" w:space="0" w:color="auto"/>
            </w:tcBorders>
            <w:vAlign w:val="center"/>
          </w:tcPr>
          <w:p w14:paraId="0DE4AD18" w14:textId="77777777" w:rsidR="008662EC" w:rsidRPr="00B43FC9" w:rsidRDefault="008662EC" w:rsidP="00B43FC9">
            <w:pPr>
              <w:jc w:val="center"/>
              <w:rPr>
                <w:rFonts w:ascii="Palatino Linotype" w:hAnsi="Palatino Linotype"/>
                <w:color w:val="0070C0"/>
                <w:sz w:val="18"/>
                <w:lang w:val="sr-Cyrl-RS"/>
              </w:rPr>
            </w:pPr>
            <w:r w:rsidRPr="00B43FC9">
              <w:rPr>
                <w:rFonts w:ascii="Palatino Linotype" w:hAnsi="Palatino Linotype"/>
                <w:color w:val="0070C0"/>
                <w:sz w:val="18"/>
                <w:lang w:val="sr-Cyrl-RS"/>
              </w:rPr>
              <w:t>3</w:t>
            </w:r>
          </w:p>
        </w:tc>
        <w:tc>
          <w:tcPr>
            <w:tcW w:w="801" w:type="dxa"/>
            <w:tcBorders>
              <w:top w:val="single" w:sz="12" w:space="0" w:color="auto"/>
              <w:left w:val="single" w:sz="12" w:space="0" w:color="auto"/>
              <w:bottom w:val="single" w:sz="12" w:space="0" w:color="auto"/>
              <w:right w:val="single" w:sz="12" w:space="0" w:color="auto"/>
            </w:tcBorders>
            <w:vAlign w:val="center"/>
          </w:tcPr>
          <w:p w14:paraId="18D138FA" w14:textId="77777777" w:rsidR="008662EC" w:rsidRPr="00B43FC9" w:rsidRDefault="008662EC" w:rsidP="00B43FC9">
            <w:pPr>
              <w:jc w:val="center"/>
              <w:rPr>
                <w:rFonts w:ascii="Palatino Linotype" w:hAnsi="Palatino Linotype"/>
                <w:sz w:val="18"/>
                <w:lang w:val="sr-Cyrl-RS"/>
              </w:rPr>
            </w:pPr>
            <w:r w:rsidRPr="00B43FC9">
              <w:rPr>
                <w:rFonts w:ascii="Palatino Linotype" w:hAnsi="Palatino Linotype"/>
                <w:sz w:val="18"/>
                <w:lang w:val="sr-Cyrl-RS"/>
              </w:rPr>
              <w:t>0</w:t>
            </w:r>
          </w:p>
        </w:tc>
        <w:tc>
          <w:tcPr>
            <w:tcW w:w="801" w:type="dxa"/>
            <w:tcBorders>
              <w:top w:val="single" w:sz="12" w:space="0" w:color="auto"/>
              <w:left w:val="single" w:sz="12" w:space="0" w:color="auto"/>
              <w:bottom w:val="single" w:sz="12" w:space="0" w:color="auto"/>
              <w:right w:val="single" w:sz="12" w:space="0" w:color="auto"/>
            </w:tcBorders>
            <w:vAlign w:val="center"/>
          </w:tcPr>
          <w:p w14:paraId="2D839EB2" w14:textId="77777777" w:rsidR="008662EC" w:rsidRPr="00B43FC9" w:rsidRDefault="008662EC" w:rsidP="00B43FC9">
            <w:pPr>
              <w:jc w:val="center"/>
              <w:rPr>
                <w:rFonts w:ascii="Palatino Linotype" w:hAnsi="Palatino Linotype"/>
                <w:sz w:val="18"/>
                <w:lang w:val="sr-Cyrl-RS"/>
              </w:rPr>
            </w:pPr>
            <w:r w:rsidRPr="00B43FC9">
              <w:rPr>
                <w:rFonts w:ascii="Palatino Linotype" w:hAnsi="Palatino Linotype"/>
                <w:sz w:val="18"/>
                <w:lang w:val="sr-Cyrl-RS"/>
              </w:rPr>
              <w:t>6</w:t>
            </w:r>
          </w:p>
        </w:tc>
        <w:tc>
          <w:tcPr>
            <w:tcW w:w="770" w:type="dxa"/>
            <w:tcBorders>
              <w:top w:val="single" w:sz="12" w:space="0" w:color="auto"/>
              <w:left w:val="single" w:sz="12" w:space="0" w:color="auto"/>
              <w:bottom w:val="single" w:sz="12" w:space="0" w:color="auto"/>
              <w:right w:val="single" w:sz="12" w:space="0" w:color="auto"/>
            </w:tcBorders>
            <w:shd w:val="clear" w:color="auto" w:fill="FFCCCC"/>
            <w:vAlign w:val="center"/>
          </w:tcPr>
          <w:p w14:paraId="2D6BDE45" w14:textId="77777777" w:rsidR="008662EC" w:rsidRPr="00B43FC9" w:rsidRDefault="008662EC" w:rsidP="00B43FC9">
            <w:pPr>
              <w:jc w:val="center"/>
              <w:rPr>
                <w:rFonts w:ascii="Palatino Linotype" w:hAnsi="Palatino Linotype"/>
                <w:sz w:val="18"/>
                <w:lang w:val="sr-Cyrl-RS"/>
              </w:rPr>
            </w:pPr>
            <w:r w:rsidRPr="00B43FC9">
              <w:rPr>
                <w:rFonts w:ascii="Palatino Linotype" w:hAnsi="Palatino Linotype"/>
                <w:color w:val="CC0000"/>
                <w:sz w:val="18"/>
                <w:lang w:val="sr-Cyrl-RS"/>
              </w:rPr>
              <w:t>48</w:t>
            </w:r>
          </w:p>
        </w:tc>
      </w:tr>
    </w:tbl>
    <w:p w14:paraId="4E28E3EF" w14:textId="77777777" w:rsidR="008662EC" w:rsidRPr="00CD3039" w:rsidRDefault="008662EC" w:rsidP="00B43FC9">
      <w:pPr>
        <w:spacing w:after="120"/>
        <w:rPr>
          <w:rFonts w:ascii="Times New Roman" w:eastAsia="Times New Roman" w:hAnsi="Times New Roman" w:cs="Times New Roman"/>
          <w:iCs/>
          <w:szCs w:val="20"/>
          <w:lang w:val="sr-Cyrl-RS"/>
        </w:rPr>
      </w:pPr>
    </w:p>
    <w:p w14:paraId="11BD1B99" w14:textId="4D48D738" w:rsidR="008662EC" w:rsidRPr="00CD3039" w:rsidRDefault="008662EC" w:rsidP="00B43FC9">
      <w:pPr>
        <w:spacing w:after="120"/>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На основу вредности података из матрице конфузије лако се могу одредити и други показатељи успеш</w:t>
      </w:r>
      <w:r w:rsidR="000F1E5C">
        <w:rPr>
          <w:rFonts w:ascii="Times New Roman" w:eastAsia="Times New Roman" w:hAnsi="Times New Roman" w:cs="Times New Roman"/>
          <w:iCs/>
          <w:szCs w:val="20"/>
          <w:lang w:val="sr-Cyrl-RS"/>
        </w:rPr>
        <w:softHyphen/>
      </w:r>
      <w:r w:rsidRPr="00CD3039">
        <w:rPr>
          <w:rFonts w:ascii="Times New Roman" w:eastAsia="Times New Roman" w:hAnsi="Times New Roman" w:cs="Times New Roman"/>
          <w:iCs/>
          <w:szCs w:val="20"/>
          <w:lang w:val="sr-Cyrl-RS"/>
        </w:rPr>
        <w:t>ности предикције (слика 9). Највећ</w:t>
      </w:r>
      <w:r w:rsidR="000F1E5C">
        <w:rPr>
          <w:rFonts w:ascii="Times New Roman" w:eastAsia="Times New Roman" w:hAnsi="Times New Roman" w:cs="Times New Roman"/>
          <w:iCs/>
          <w:szCs w:val="20"/>
          <w:lang w:val="sr-Cyrl-RS"/>
        </w:rPr>
        <w:t>а</w:t>
      </w:r>
      <w:r w:rsidRPr="00CD3039">
        <w:rPr>
          <w:rFonts w:ascii="Times New Roman" w:eastAsia="Times New Roman" w:hAnsi="Times New Roman" w:cs="Times New Roman"/>
          <w:iCs/>
          <w:szCs w:val="20"/>
          <w:lang w:val="sr-Cyrl-RS"/>
        </w:rPr>
        <w:t xml:space="preserve"> тачност </w:t>
      </w:r>
      <w:r w:rsidRPr="000F1E5C">
        <w:rPr>
          <w:rFonts w:ascii="Times New Roman" w:eastAsia="Times New Roman" w:hAnsi="Times New Roman" w:cs="Times New Roman"/>
          <w:iCs/>
          <w:szCs w:val="20"/>
          <w:lang w:val="sr-Cyrl-RS"/>
        </w:rPr>
        <w:t>предик</w:t>
      </w:r>
      <w:r w:rsidR="000F1E5C">
        <w:rPr>
          <w:rFonts w:ascii="Times New Roman" w:eastAsia="Times New Roman" w:hAnsi="Times New Roman" w:cs="Times New Roman"/>
          <w:iCs/>
          <w:szCs w:val="20"/>
          <w:lang w:val="sr-Cyrl-RS"/>
        </w:rPr>
        <w:softHyphen/>
      </w:r>
      <w:r w:rsidRPr="000F1E5C">
        <w:rPr>
          <w:rFonts w:ascii="Times New Roman" w:eastAsia="Times New Roman" w:hAnsi="Times New Roman" w:cs="Times New Roman"/>
          <w:iCs/>
          <w:szCs w:val="20"/>
          <w:lang w:val="sr-Cyrl-RS"/>
        </w:rPr>
        <w:t>ције</w:t>
      </w:r>
      <w:r w:rsidRPr="00CD3039">
        <w:rPr>
          <w:rFonts w:ascii="Times New Roman" w:eastAsia="Times New Roman" w:hAnsi="Times New Roman" w:cs="Times New Roman"/>
          <w:iCs/>
          <w:szCs w:val="20"/>
          <w:lang w:val="sr-Cyrl-RS"/>
        </w:rPr>
        <w:t xml:space="preserve"> постиже се за категорију К-ниво, 89,30%.</w:t>
      </w:r>
    </w:p>
    <w:p w14:paraId="1ED872E8" w14:textId="3A4567C2" w:rsidR="008463AD" w:rsidRPr="00CD3039" w:rsidRDefault="008463AD" w:rsidP="00B43FC9">
      <w:pPr>
        <w:rPr>
          <w:rFonts w:ascii="Times New Roman" w:eastAsia="Times New Roman" w:hAnsi="Times New Roman" w:cs="Times New Roman"/>
          <w:b/>
          <w:iCs/>
          <w:szCs w:val="20"/>
          <w:lang w:val="sr-Cyrl-RS"/>
        </w:rPr>
      </w:pPr>
    </w:p>
    <w:p w14:paraId="1E031186" w14:textId="08AF45D9" w:rsidR="000F1E5C" w:rsidRDefault="000F1E5C" w:rsidP="00B43FC9">
      <w:pPr>
        <w:jc w:val="center"/>
        <w:rPr>
          <w:rFonts w:ascii="Times New Roman" w:eastAsia="Times New Roman" w:hAnsi="Times New Roman" w:cs="Times New Roman"/>
          <w:iCs/>
          <w:szCs w:val="20"/>
          <w:lang w:val="sr-Cyrl-RS"/>
        </w:rPr>
      </w:pPr>
      <w:r>
        <w:rPr>
          <w:noProof/>
          <w:lang w:val="en-US"/>
        </w:rPr>
        <w:lastRenderedPageBreak/>
        <w:drawing>
          <wp:inline distT="0" distB="0" distL="0" distR="0" wp14:anchorId="47174C9B" wp14:editId="1C065707">
            <wp:extent cx="2969895" cy="1576611"/>
            <wp:effectExtent l="0" t="0" r="190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969895" cy="1576611"/>
                    </a:xfrm>
                    <a:prstGeom prst="rect">
                      <a:avLst/>
                    </a:prstGeom>
                  </pic:spPr>
                </pic:pic>
              </a:graphicData>
            </a:graphic>
          </wp:inline>
        </w:drawing>
      </w:r>
    </w:p>
    <w:p w14:paraId="70BCFC34" w14:textId="77777777" w:rsidR="008662EC" w:rsidRPr="00CD3039" w:rsidRDefault="008662EC" w:rsidP="00B43FC9">
      <w:pPr>
        <w:jc w:val="center"/>
        <w:rPr>
          <w:rFonts w:ascii="Times New Roman" w:eastAsia="Times New Roman" w:hAnsi="Times New Roman" w:cs="Times New Roman"/>
          <w:i/>
          <w:iCs/>
          <w:szCs w:val="20"/>
          <w:lang w:val="sr-Cyrl-RS"/>
        </w:rPr>
      </w:pPr>
      <w:r w:rsidRPr="00CD3039">
        <w:rPr>
          <w:rFonts w:ascii="Times New Roman" w:eastAsia="Times New Roman" w:hAnsi="Times New Roman" w:cs="Times New Roman"/>
          <w:iCs/>
          <w:szCs w:val="20"/>
          <w:lang w:val="sr-Cyrl-RS"/>
        </w:rPr>
        <w:t xml:space="preserve">Слика 9. </w:t>
      </w:r>
      <w:r w:rsidRPr="00CD3039">
        <w:rPr>
          <w:rFonts w:ascii="Times New Roman" w:eastAsia="Times New Roman" w:hAnsi="Times New Roman" w:cs="Times New Roman"/>
          <w:i/>
          <w:iCs/>
          <w:szCs w:val="20"/>
          <w:lang w:val="sr-Cyrl-RS"/>
        </w:rPr>
        <w:t>Мере за евалуацију класификатора.</w:t>
      </w:r>
    </w:p>
    <w:p w14:paraId="1D245380" w14:textId="77777777" w:rsidR="00BE47B3" w:rsidRPr="00CD3039" w:rsidRDefault="00BE47B3" w:rsidP="00B43FC9">
      <w:pPr>
        <w:jc w:val="center"/>
        <w:rPr>
          <w:rFonts w:ascii="Times New Roman" w:eastAsia="Times New Roman" w:hAnsi="Times New Roman" w:cs="Times New Roman"/>
          <w:iCs/>
          <w:szCs w:val="20"/>
          <w:lang w:val="sr-Cyrl-RS"/>
        </w:rPr>
      </w:pPr>
    </w:p>
    <w:p w14:paraId="15A40BAD" w14:textId="77777777" w:rsidR="00501A85" w:rsidRPr="00CD3039" w:rsidRDefault="00501A85" w:rsidP="00B43FC9">
      <w:pPr>
        <w:spacing w:before="120" w:after="120"/>
        <w:rPr>
          <w:rFonts w:ascii="Times New Roman" w:eastAsia="Times New Roman" w:hAnsi="Times New Roman" w:cs="Times New Roman"/>
          <w:iCs/>
          <w:szCs w:val="20"/>
          <w:lang w:val="sr-Cyrl-RS"/>
        </w:rPr>
      </w:pPr>
      <w:r w:rsidRPr="00CD3039">
        <w:rPr>
          <w:rFonts w:ascii="Times New Roman" w:eastAsia="Times New Roman" w:hAnsi="Times New Roman" w:cs="Times New Roman"/>
          <w:b/>
          <w:iCs/>
          <w:szCs w:val="20"/>
          <w:lang w:val="sr-Cyrl-RS"/>
        </w:rPr>
        <w:t xml:space="preserve">6. </w:t>
      </w:r>
      <w:r w:rsidR="00BE47B3" w:rsidRPr="00CD3039">
        <w:rPr>
          <w:rFonts w:ascii="Times New Roman" w:eastAsia="Times New Roman" w:hAnsi="Times New Roman" w:cs="Times New Roman"/>
          <w:b/>
          <w:iCs/>
          <w:szCs w:val="20"/>
          <w:lang w:val="sr-Cyrl-RS"/>
        </w:rPr>
        <w:t>ЗАКЉУЧАК</w:t>
      </w:r>
    </w:p>
    <w:p w14:paraId="5160ABD6" w14:textId="77777777" w:rsidR="0054614D" w:rsidRPr="00CD3039" w:rsidRDefault="00501A85" w:rsidP="00B43FC9">
      <w:pPr>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У раду је извршена идентификација параметара за предикцију оспособљености хода након ампутације. Класификациони модели показали су велику тачност, па се поменути модели предлажу за даљу клиничку употребу.</w:t>
      </w:r>
    </w:p>
    <w:p w14:paraId="04AD0F3B" w14:textId="77777777" w:rsidR="001F58A6" w:rsidRPr="00CD3039" w:rsidRDefault="00501A85" w:rsidP="00B43FC9">
      <w:pPr>
        <w:spacing w:before="120" w:after="120"/>
        <w:rPr>
          <w:rFonts w:ascii="Times New Roman" w:eastAsia="Times New Roman" w:hAnsi="Times New Roman" w:cs="Times New Roman"/>
          <w:iCs/>
          <w:szCs w:val="20"/>
          <w:lang w:val="sr-Cyrl-RS"/>
        </w:rPr>
      </w:pPr>
      <w:r w:rsidRPr="00CD3039">
        <w:rPr>
          <w:rFonts w:ascii="Times New Roman" w:eastAsia="Times New Roman" w:hAnsi="Times New Roman" w:cs="Times New Roman"/>
          <w:b/>
          <w:iCs/>
          <w:szCs w:val="20"/>
          <w:lang w:val="sr-Cyrl-RS"/>
        </w:rPr>
        <w:t>6</w:t>
      </w:r>
      <w:r w:rsidR="001F58A6" w:rsidRPr="00CD3039">
        <w:rPr>
          <w:rFonts w:ascii="Times New Roman" w:eastAsia="Times New Roman" w:hAnsi="Times New Roman" w:cs="Times New Roman"/>
          <w:b/>
          <w:iCs/>
          <w:szCs w:val="20"/>
          <w:lang w:val="sr-Cyrl-RS"/>
        </w:rPr>
        <w:t xml:space="preserve">. </w:t>
      </w:r>
      <w:r w:rsidRPr="00CD3039">
        <w:rPr>
          <w:rFonts w:ascii="Times New Roman" w:eastAsia="Times New Roman" w:hAnsi="Times New Roman" w:cs="Times New Roman"/>
          <w:b/>
          <w:iCs/>
          <w:szCs w:val="20"/>
          <w:lang w:val="sr-Cyrl-RS"/>
        </w:rPr>
        <w:t>ЛИТЕРАТУРА</w:t>
      </w:r>
    </w:p>
    <w:p w14:paraId="7E2DFFC7" w14:textId="3D5E7E50" w:rsidR="001F58A6" w:rsidRPr="00CD3039" w:rsidRDefault="001F58A6" w:rsidP="00B43FC9">
      <w:pPr>
        <w:ind w:left="284" w:hanging="284"/>
        <w:jc w:val="left"/>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 xml:space="preserve">[1] </w:t>
      </w:r>
      <w:r w:rsidR="00501A85" w:rsidRPr="00CD3039">
        <w:rPr>
          <w:rFonts w:ascii="Times New Roman" w:eastAsia="Times New Roman" w:hAnsi="Times New Roman" w:cs="Times New Roman"/>
          <w:iCs/>
          <w:szCs w:val="20"/>
          <w:lang w:val="sr-Cyrl-RS"/>
        </w:rPr>
        <w:t>A. Кнежевић,</w:t>
      </w:r>
      <w:r w:rsidR="00CD3039">
        <w:rPr>
          <w:rFonts w:ascii="Times New Roman" w:eastAsia="Times New Roman" w:hAnsi="Times New Roman" w:cs="Times New Roman"/>
          <w:iCs/>
          <w:szCs w:val="20"/>
          <w:lang w:val="sr-Latn-RS"/>
        </w:rPr>
        <w:t xml:space="preserve"> </w:t>
      </w:r>
      <w:r w:rsidR="00501A85" w:rsidRPr="00CD3039">
        <w:rPr>
          <w:rFonts w:ascii="Times New Roman" w:eastAsia="Times New Roman" w:hAnsi="Times New Roman" w:cs="Times New Roman"/>
          <w:i/>
          <w:iCs/>
          <w:szCs w:val="20"/>
          <w:lang w:val="sr-Cyrl-RS"/>
        </w:rPr>
        <w:t>Фактори који утичу на ниво оспособљњности за ход уз помоћ протезе након ампутације доњих екстремитета</w:t>
      </w:r>
      <w:r w:rsidR="00501A85" w:rsidRPr="00CD3039">
        <w:rPr>
          <w:rFonts w:ascii="Times New Roman" w:eastAsia="Times New Roman" w:hAnsi="Times New Roman" w:cs="Times New Roman"/>
          <w:iCs/>
          <w:szCs w:val="20"/>
          <w:lang w:val="sr-Cyrl-RS"/>
        </w:rPr>
        <w:t>, Нови Сад, Медицински факултет, 2014.</w:t>
      </w:r>
    </w:p>
    <w:p w14:paraId="45BA8215" w14:textId="77777777" w:rsidR="001F58A6" w:rsidRPr="00CD3039" w:rsidRDefault="001F58A6" w:rsidP="00B43FC9">
      <w:pPr>
        <w:ind w:left="284" w:hanging="284"/>
        <w:jc w:val="left"/>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 xml:space="preserve">[2] </w:t>
      </w:r>
      <w:r w:rsidR="00501A85" w:rsidRPr="00CD3039">
        <w:rPr>
          <w:rFonts w:ascii="Times New Roman" w:eastAsia="Times New Roman" w:hAnsi="Times New Roman" w:cs="Times New Roman"/>
          <w:iCs/>
          <w:szCs w:val="20"/>
          <w:lang w:val="sr-Cyrl-RS"/>
        </w:rPr>
        <w:t xml:space="preserve">M. Kuhn, K. Johnson, </w:t>
      </w:r>
      <w:r w:rsidR="00501A85" w:rsidRPr="00CD3039">
        <w:rPr>
          <w:rFonts w:ascii="Times New Roman" w:eastAsia="Times New Roman" w:hAnsi="Times New Roman" w:cs="Times New Roman"/>
          <w:i/>
          <w:iCs/>
          <w:szCs w:val="20"/>
          <w:lang w:val="sr-Cyrl-RS"/>
        </w:rPr>
        <w:t>Applied Predictive Modeling</w:t>
      </w:r>
      <w:r w:rsidR="00501A85" w:rsidRPr="00CD3039">
        <w:rPr>
          <w:rFonts w:ascii="Times New Roman" w:eastAsia="Times New Roman" w:hAnsi="Times New Roman" w:cs="Times New Roman"/>
          <w:iCs/>
          <w:szCs w:val="20"/>
          <w:lang w:val="sr-Cyrl-RS"/>
        </w:rPr>
        <w:t>, New York, Springer, 2013.</w:t>
      </w:r>
    </w:p>
    <w:p w14:paraId="1F1D4529" w14:textId="77777777" w:rsidR="00B36102" w:rsidRPr="00CD3039" w:rsidRDefault="00192A6B" w:rsidP="00B43FC9">
      <w:pPr>
        <w:ind w:left="284" w:hanging="284"/>
        <w:jc w:val="left"/>
        <w:rPr>
          <w:rFonts w:ascii="Times New Roman" w:eastAsia="Times New Roman" w:hAnsi="Times New Roman" w:cs="Times New Roman"/>
          <w:iCs/>
          <w:szCs w:val="20"/>
          <w:lang w:val="sr-Cyrl-RS"/>
        </w:rPr>
      </w:pPr>
      <w:r w:rsidRPr="00CD3039">
        <w:rPr>
          <w:rFonts w:ascii="Times New Roman" w:eastAsia="Times New Roman" w:hAnsi="Times New Roman" w:cs="Times New Roman"/>
          <w:iCs/>
          <w:szCs w:val="20"/>
          <w:lang w:val="sr-Cyrl-RS"/>
        </w:rPr>
        <w:t xml:space="preserve">[3] </w:t>
      </w:r>
      <w:r w:rsidR="00501A85" w:rsidRPr="00CD3039">
        <w:rPr>
          <w:rFonts w:ascii="Times New Roman" w:eastAsia="Times New Roman" w:hAnsi="Times New Roman" w:cs="Times New Roman"/>
          <w:iCs/>
          <w:szCs w:val="20"/>
          <w:lang w:val="sr-Cyrl-RS"/>
        </w:rPr>
        <w:t xml:space="preserve">В. Црнојевић, </w:t>
      </w:r>
      <w:r w:rsidR="00501A85" w:rsidRPr="00CD3039">
        <w:rPr>
          <w:rFonts w:ascii="Times New Roman" w:eastAsia="Times New Roman" w:hAnsi="Times New Roman" w:cs="Times New Roman"/>
          <w:i/>
          <w:iCs/>
          <w:szCs w:val="20"/>
          <w:lang w:val="sr-Cyrl-RS"/>
        </w:rPr>
        <w:t>Препознавање облика за инжењере</w:t>
      </w:r>
      <w:r w:rsidR="00501A85" w:rsidRPr="00CD3039">
        <w:rPr>
          <w:rFonts w:ascii="Times New Roman" w:eastAsia="Times New Roman" w:hAnsi="Times New Roman" w:cs="Times New Roman"/>
          <w:iCs/>
          <w:szCs w:val="20"/>
          <w:lang w:val="sr-Cyrl-RS"/>
        </w:rPr>
        <w:t>, Нови Сад, Факултет техничких наука, 2014.</w:t>
      </w:r>
    </w:p>
    <w:p w14:paraId="40F2EE17" w14:textId="77777777" w:rsidR="001F58A6" w:rsidRPr="00CD3039" w:rsidRDefault="006568BF" w:rsidP="00B43FC9">
      <w:pPr>
        <w:spacing w:before="120"/>
        <w:ind w:left="408" w:hanging="408"/>
        <w:rPr>
          <w:rFonts w:ascii="Times New Roman" w:eastAsia="Times New Roman" w:hAnsi="Times New Roman" w:cs="Times New Roman"/>
          <w:b/>
          <w:iCs/>
          <w:szCs w:val="20"/>
          <w:lang w:val="sr-Cyrl-RS"/>
        </w:rPr>
      </w:pPr>
      <w:r w:rsidRPr="00CD3039">
        <w:rPr>
          <w:rFonts w:ascii="Times New Roman" w:eastAsia="Times New Roman" w:hAnsi="Times New Roman" w:cs="Times New Roman"/>
          <w:b/>
          <w:iCs/>
          <w:szCs w:val="20"/>
          <w:lang w:val="sr-Cyrl-RS"/>
        </w:rPr>
        <w:t>Кратка</w:t>
      </w:r>
      <w:r w:rsidR="001F58A6" w:rsidRPr="00CD3039">
        <w:rPr>
          <w:rFonts w:ascii="Times New Roman" w:eastAsia="Times New Roman" w:hAnsi="Times New Roman" w:cs="Times New Roman"/>
          <w:b/>
          <w:iCs/>
          <w:szCs w:val="20"/>
          <w:lang w:val="sr-Cyrl-RS"/>
        </w:rPr>
        <w:t xml:space="preserve"> </w:t>
      </w:r>
      <w:r w:rsidRPr="00CD3039">
        <w:rPr>
          <w:rFonts w:ascii="Times New Roman" w:eastAsia="Times New Roman" w:hAnsi="Times New Roman" w:cs="Times New Roman"/>
          <w:b/>
          <w:iCs/>
          <w:szCs w:val="20"/>
          <w:lang w:val="sr-Cyrl-RS"/>
        </w:rPr>
        <w:t>биографија</w:t>
      </w:r>
      <w:r w:rsidR="001F58A6" w:rsidRPr="00CD3039">
        <w:rPr>
          <w:rFonts w:ascii="Times New Roman" w:eastAsia="Times New Roman" w:hAnsi="Times New Roman" w:cs="Times New Roman"/>
          <w:b/>
          <w:iCs/>
          <w:szCs w:val="20"/>
          <w:lang w:val="sr-Cyrl-RS"/>
        </w:rPr>
        <w:t>:</w:t>
      </w:r>
    </w:p>
    <w:tbl>
      <w:tblPr>
        <w:tblW w:w="0" w:type="auto"/>
        <w:tblInd w:w="108" w:type="dxa"/>
        <w:tblLook w:val="01E0" w:firstRow="1" w:lastRow="1" w:firstColumn="1" w:lastColumn="1" w:noHBand="0" w:noVBand="0"/>
      </w:tblPr>
      <w:tblGrid>
        <w:gridCol w:w="1633"/>
        <w:gridCol w:w="3045"/>
      </w:tblGrid>
      <w:tr w:rsidR="008A041C" w:rsidRPr="00CD3039" w14:paraId="477F0E81" w14:textId="77777777" w:rsidTr="00255858">
        <w:trPr>
          <w:trHeight w:val="785"/>
        </w:trPr>
        <w:tc>
          <w:tcPr>
            <w:tcW w:w="1633" w:type="dxa"/>
          </w:tcPr>
          <w:p w14:paraId="42A4CB09" w14:textId="77777777" w:rsidR="008A041C" w:rsidRPr="00CD3039" w:rsidRDefault="008A041C" w:rsidP="00B43FC9">
            <w:pPr>
              <w:spacing w:before="120"/>
              <w:rPr>
                <w:rFonts w:ascii="Times New Roman" w:eastAsia="Times New Roman" w:hAnsi="Times New Roman" w:cs="Times New Roman"/>
                <w:iCs/>
                <w:sz w:val="18"/>
                <w:szCs w:val="18"/>
                <w:lang w:val="sr-Cyrl-RS"/>
              </w:rPr>
            </w:pPr>
            <w:r w:rsidRPr="00CD3039">
              <w:rPr>
                <w:rFonts w:ascii="Times New Roman" w:eastAsia="Times New Roman" w:hAnsi="Times New Roman" w:cs="Times New Roman"/>
                <w:iCs/>
                <w:noProof/>
                <w:sz w:val="18"/>
                <w:szCs w:val="18"/>
                <w:lang w:val="en-US"/>
              </w:rPr>
              <w:drawing>
                <wp:inline distT="0" distB="0" distL="0" distR="0" wp14:anchorId="4B0DB42A" wp14:editId="6214F2C6">
                  <wp:extent cx="900000" cy="10574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920_171217.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00000" cy="1057412"/>
                          </a:xfrm>
                          <a:prstGeom prst="rect">
                            <a:avLst/>
                          </a:prstGeom>
                        </pic:spPr>
                      </pic:pic>
                    </a:graphicData>
                  </a:graphic>
                </wp:inline>
              </w:drawing>
            </w:r>
          </w:p>
        </w:tc>
        <w:tc>
          <w:tcPr>
            <w:tcW w:w="3045" w:type="dxa"/>
          </w:tcPr>
          <w:p w14:paraId="470DFA93" w14:textId="1A7670F1" w:rsidR="008A041C" w:rsidRPr="00CD3039" w:rsidRDefault="008A041C" w:rsidP="000F1E5C">
            <w:pPr>
              <w:spacing w:before="120"/>
              <w:ind w:right="-108"/>
              <w:rPr>
                <w:rFonts w:ascii="Times New Roman" w:eastAsia="Times New Roman" w:hAnsi="Times New Roman" w:cs="Times New Roman"/>
                <w:iCs/>
                <w:sz w:val="18"/>
                <w:szCs w:val="18"/>
                <w:lang w:val="sr-Cyrl-RS"/>
              </w:rPr>
            </w:pPr>
            <w:r w:rsidRPr="00CD3039">
              <w:rPr>
                <w:rFonts w:ascii="Times New Roman" w:eastAsia="Times New Roman" w:hAnsi="Times New Roman" w:cs="Times New Roman"/>
                <w:b/>
                <w:iCs/>
                <w:sz w:val="18"/>
                <w:szCs w:val="18"/>
                <w:lang w:val="sr-Cyrl-RS"/>
              </w:rPr>
              <w:t>Јована Арсеновић</w:t>
            </w:r>
            <w:r w:rsidR="000F1E5C">
              <w:rPr>
                <w:rFonts w:ascii="Times New Roman" w:eastAsia="Times New Roman" w:hAnsi="Times New Roman" w:cs="Times New Roman"/>
                <w:b/>
                <w:iCs/>
                <w:sz w:val="18"/>
                <w:szCs w:val="18"/>
                <w:lang w:val="sr-Cyrl-RS"/>
              </w:rPr>
              <w:t xml:space="preserve"> </w:t>
            </w:r>
            <w:r w:rsidRPr="00CD3039">
              <w:rPr>
                <w:rFonts w:ascii="Times New Roman" w:eastAsia="Times New Roman" w:hAnsi="Times New Roman" w:cs="Times New Roman"/>
                <w:iCs/>
                <w:sz w:val="18"/>
                <w:szCs w:val="18"/>
                <w:lang w:val="sr-Cyrl-RS"/>
              </w:rPr>
              <w:t>рођена je</w:t>
            </w:r>
            <w:r w:rsidR="000F1E5C">
              <w:rPr>
                <w:rFonts w:ascii="Times New Roman" w:eastAsia="Times New Roman" w:hAnsi="Times New Roman" w:cs="Times New Roman"/>
                <w:iCs/>
                <w:sz w:val="18"/>
                <w:szCs w:val="18"/>
                <w:lang w:val="sr-Cyrl-RS"/>
              </w:rPr>
              <w:t xml:space="preserve"> </w:t>
            </w:r>
            <w:r w:rsidRPr="00CD3039">
              <w:rPr>
                <w:rFonts w:ascii="Times New Roman" w:eastAsia="Times New Roman" w:hAnsi="Times New Roman" w:cs="Times New Roman"/>
                <w:iCs/>
                <w:sz w:val="18"/>
                <w:szCs w:val="18"/>
                <w:lang w:val="sr-Cyrl-RS"/>
              </w:rPr>
              <w:t>1996. године у Новом Саду. 2015. године уписује Факултет техничких наука, смер Биомедицинско инжењерство. Мастер академске студије наставља на смеру Аутоматика и управљање сис</w:t>
            </w:r>
            <w:r w:rsidR="000F1E5C">
              <w:rPr>
                <w:rFonts w:ascii="Times New Roman" w:eastAsia="Times New Roman" w:hAnsi="Times New Roman" w:cs="Times New Roman"/>
                <w:iCs/>
                <w:sz w:val="18"/>
                <w:szCs w:val="18"/>
                <w:lang w:val="sr-Cyrl-RS"/>
              </w:rPr>
              <w:softHyphen/>
            </w:r>
            <w:r w:rsidRPr="00CD3039">
              <w:rPr>
                <w:rFonts w:ascii="Times New Roman" w:eastAsia="Times New Roman" w:hAnsi="Times New Roman" w:cs="Times New Roman"/>
                <w:iCs/>
                <w:sz w:val="18"/>
                <w:szCs w:val="18"/>
                <w:lang w:val="sr-Cyrl-RS"/>
              </w:rPr>
              <w:t xml:space="preserve">тема. Аутор и коаутор је </w:t>
            </w:r>
            <w:r w:rsidR="000F1E5C">
              <w:rPr>
                <w:rFonts w:ascii="Times New Roman" w:eastAsia="Times New Roman" w:hAnsi="Times New Roman" w:cs="Times New Roman"/>
                <w:iCs/>
                <w:sz w:val="18"/>
                <w:szCs w:val="18"/>
                <w:lang w:val="sr-Cyrl-RS"/>
              </w:rPr>
              <w:t>два</w:t>
            </w:r>
            <w:r w:rsidRPr="00CD3039">
              <w:rPr>
                <w:rFonts w:ascii="Times New Roman" w:eastAsia="Times New Roman" w:hAnsi="Times New Roman" w:cs="Times New Roman"/>
                <w:iCs/>
                <w:sz w:val="18"/>
                <w:szCs w:val="18"/>
                <w:lang w:val="sr-Cyrl-RS"/>
              </w:rPr>
              <w:t xml:space="preserve"> научна рада саопштен</w:t>
            </w:r>
            <w:r w:rsidR="000F1E5C">
              <w:rPr>
                <w:rFonts w:ascii="Times New Roman" w:eastAsia="Times New Roman" w:hAnsi="Times New Roman" w:cs="Times New Roman"/>
                <w:iCs/>
                <w:sz w:val="18"/>
                <w:szCs w:val="18"/>
                <w:lang w:val="sr-Cyrl-RS"/>
              </w:rPr>
              <w:t>а</w:t>
            </w:r>
            <w:r w:rsidRPr="00CD3039">
              <w:rPr>
                <w:rFonts w:ascii="Times New Roman" w:eastAsia="Times New Roman" w:hAnsi="Times New Roman" w:cs="Times New Roman"/>
                <w:iCs/>
                <w:sz w:val="18"/>
                <w:szCs w:val="18"/>
                <w:lang w:val="sr-Cyrl-RS"/>
              </w:rPr>
              <w:t xml:space="preserve"> на скуповима међуна</w:t>
            </w:r>
            <w:r w:rsidR="000F1E5C">
              <w:rPr>
                <w:rFonts w:ascii="Times New Roman" w:eastAsia="Times New Roman" w:hAnsi="Times New Roman" w:cs="Times New Roman"/>
                <w:iCs/>
                <w:sz w:val="18"/>
                <w:szCs w:val="18"/>
                <w:lang w:val="sr-Cyrl-RS"/>
              </w:rPr>
              <w:softHyphen/>
            </w:r>
            <w:r w:rsidRPr="00CD3039">
              <w:rPr>
                <w:rFonts w:ascii="Times New Roman" w:eastAsia="Times New Roman" w:hAnsi="Times New Roman" w:cs="Times New Roman"/>
                <w:iCs/>
                <w:sz w:val="18"/>
                <w:szCs w:val="18"/>
                <w:lang w:val="sr-Cyrl-RS"/>
              </w:rPr>
              <w:t>родног значаја.</w:t>
            </w:r>
          </w:p>
          <w:p w14:paraId="7E52BF3A" w14:textId="77777777" w:rsidR="008A041C" w:rsidRPr="00CD3039" w:rsidRDefault="008A041C" w:rsidP="00B43FC9">
            <w:pPr>
              <w:ind w:right="-108"/>
              <w:jc w:val="left"/>
              <w:rPr>
                <w:rFonts w:ascii="Times New Roman" w:eastAsia="Times New Roman" w:hAnsi="Times New Roman" w:cs="Times New Roman"/>
                <w:iCs/>
                <w:sz w:val="18"/>
                <w:szCs w:val="18"/>
                <w:lang w:val="sr-Cyrl-RS"/>
              </w:rPr>
            </w:pPr>
            <w:r w:rsidRPr="00CD3039">
              <w:rPr>
                <w:rFonts w:ascii="Times New Roman" w:eastAsia="Times New Roman" w:hAnsi="Times New Roman" w:cs="Times New Roman"/>
                <w:iCs/>
                <w:sz w:val="18"/>
                <w:szCs w:val="18"/>
                <w:lang w:val="sr-Cyrl-RS"/>
              </w:rPr>
              <w:t>контакт: arsenovic.jovana@gmail.com</w:t>
            </w:r>
          </w:p>
        </w:tc>
      </w:tr>
    </w:tbl>
    <w:p w14:paraId="705C3D35" w14:textId="77777777" w:rsidR="00366EA3" w:rsidRPr="00CD3039" w:rsidRDefault="00366EA3" w:rsidP="00B43FC9">
      <w:pPr>
        <w:jc w:val="left"/>
        <w:rPr>
          <w:rFonts w:ascii="Times New Roman" w:eastAsia="Times New Roman" w:hAnsi="Times New Roman" w:cs="Times New Roman"/>
          <w:iCs/>
          <w:sz w:val="12"/>
          <w:szCs w:val="24"/>
          <w:lang w:val="sr-Cyrl-RS"/>
        </w:rPr>
      </w:pPr>
    </w:p>
    <w:sectPr w:rsidR="00366EA3" w:rsidRPr="00CD3039" w:rsidSect="00366EA3">
      <w:type w:val="continuous"/>
      <w:pgSz w:w="11906" w:h="16838"/>
      <w:pgMar w:top="1134" w:right="1134" w:bottom="1134" w:left="1134" w:header="708" w:footer="708"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FA827" w14:textId="77777777" w:rsidR="009E1CD3" w:rsidRDefault="009E1CD3" w:rsidP="008A041C">
      <w:r>
        <w:separator/>
      </w:r>
    </w:p>
  </w:endnote>
  <w:endnote w:type="continuationSeparator" w:id="0">
    <w:p w14:paraId="20527219" w14:textId="77777777" w:rsidR="009E1CD3" w:rsidRDefault="009E1CD3" w:rsidP="008A0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4BD15" w14:textId="77777777" w:rsidR="009E1CD3" w:rsidRDefault="009E1CD3" w:rsidP="008A041C">
      <w:r>
        <w:separator/>
      </w:r>
    </w:p>
  </w:footnote>
  <w:footnote w:type="continuationSeparator" w:id="0">
    <w:p w14:paraId="58754885" w14:textId="77777777" w:rsidR="009E1CD3" w:rsidRDefault="009E1CD3" w:rsidP="008A04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861FA"/>
    <w:multiLevelType w:val="hybridMultilevel"/>
    <w:tmpl w:val="DA822AA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80"/>
    <w:rsid w:val="000749FA"/>
    <w:rsid w:val="00084DDE"/>
    <w:rsid w:val="000A12EF"/>
    <w:rsid w:val="000C7C19"/>
    <w:rsid w:val="000F1E5C"/>
    <w:rsid w:val="0011460E"/>
    <w:rsid w:val="00132FA0"/>
    <w:rsid w:val="00192A6B"/>
    <w:rsid w:val="001F58A6"/>
    <w:rsid w:val="00201C73"/>
    <w:rsid w:val="00245755"/>
    <w:rsid w:val="00255858"/>
    <w:rsid w:val="002A1DDA"/>
    <w:rsid w:val="002A649A"/>
    <w:rsid w:val="002B1209"/>
    <w:rsid w:val="002B7AE7"/>
    <w:rsid w:val="002F5A53"/>
    <w:rsid w:val="00366EA3"/>
    <w:rsid w:val="003867DE"/>
    <w:rsid w:val="003A799F"/>
    <w:rsid w:val="004055D2"/>
    <w:rsid w:val="00450452"/>
    <w:rsid w:val="00472EF2"/>
    <w:rsid w:val="004A1675"/>
    <w:rsid w:val="004A5258"/>
    <w:rsid w:val="00501A85"/>
    <w:rsid w:val="005355C3"/>
    <w:rsid w:val="0054614D"/>
    <w:rsid w:val="00607900"/>
    <w:rsid w:val="006568BF"/>
    <w:rsid w:val="00660E62"/>
    <w:rsid w:val="00672D9C"/>
    <w:rsid w:val="006A1BFB"/>
    <w:rsid w:val="00704C1E"/>
    <w:rsid w:val="00740BFD"/>
    <w:rsid w:val="00743694"/>
    <w:rsid w:val="007B1747"/>
    <w:rsid w:val="008463AD"/>
    <w:rsid w:val="008662EC"/>
    <w:rsid w:val="00871C13"/>
    <w:rsid w:val="008A041C"/>
    <w:rsid w:val="008A38E3"/>
    <w:rsid w:val="009E1CD3"/>
    <w:rsid w:val="00A10B09"/>
    <w:rsid w:val="00B32EF0"/>
    <w:rsid w:val="00B36102"/>
    <w:rsid w:val="00B43FC9"/>
    <w:rsid w:val="00B5285B"/>
    <w:rsid w:val="00B76606"/>
    <w:rsid w:val="00BB52DC"/>
    <w:rsid w:val="00BD3C18"/>
    <w:rsid w:val="00BE47B3"/>
    <w:rsid w:val="00C12D67"/>
    <w:rsid w:val="00C94FD7"/>
    <w:rsid w:val="00CC06A9"/>
    <w:rsid w:val="00CD3039"/>
    <w:rsid w:val="00D14523"/>
    <w:rsid w:val="00D451BF"/>
    <w:rsid w:val="00D85D52"/>
    <w:rsid w:val="00DC5F80"/>
    <w:rsid w:val="00E2295C"/>
    <w:rsid w:val="00E32CBD"/>
    <w:rsid w:val="00E41321"/>
    <w:rsid w:val="00EE09B7"/>
    <w:rsid w:val="00EF148F"/>
    <w:rsid w:val="00F00962"/>
    <w:rsid w:val="00F26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FD7"/>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041C"/>
    <w:pPr>
      <w:tabs>
        <w:tab w:val="center" w:pos="4680"/>
        <w:tab w:val="right" w:pos="9360"/>
      </w:tabs>
    </w:pPr>
  </w:style>
  <w:style w:type="character" w:customStyle="1" w:styleId="HeaderChar">
    <w:name w:val="Header Char"/>
    <w:basedOn w:val="DefaultParagraphFont"/>
    <w:link w:val="Header"/>
    <w:uiPriority w:val="99"/>
    <w:rsid w:val="008A041C"/>
    <w:rPr>
      <w:sz w:val="20"/>
    </w:rPr>
  </w:style>
  <w:style w:type="paragraph" w:styleId="Footer">
    <w:name w:val="footer"/>
    <w:basedOn w:val="Normal"/>
    <w:link w:val="FooterChar"/>
    <w:uiPriority w:val="99"/>
    <w:unhideWhenUsed/>
    <w:rsid w:val="008A041C"/>
    <w:pPr>
      <w:tabs>
        <w:tab w:val="center" w:pos="4680"/>
        <w:tab w:val="right" w:pos="9360"/>
      </w:tabs>
    </w:pPr>
  </w:style>
  <w:style w:type="character" w:customStyle="1" w:styleId="FooterChar">
    <w:name w:val="Footer Char"/>
    <w:basedOn w:val="DefaultParagraphFont"/>
    <w:link w:val="Footer"/>
    <w:uiPriority w:val="99"/>
    <w:rsid w:val="008A041C"/>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FD7"/>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041C"/>
    <w:pPr>
      <w:tabs>
        <w:tab w:val="center" w:pos="4680"/>
        <w:tab w:val="right" w:pos="9360"/>
      </w:tabs>
    </w:pPr>
  </w:style>
  <w:style w:type="character" w:customStyle="1" w:styleId="HeaderChar">
    <w:name w:val="Header Char"/>
    <w:basedOn w:val="DefaultParagraphFont"/>
    <w:link w:val="Header"/>
    <w:uiPriority w:val="99"/>
    <w:rsid w:val="008A041C"/>
    <w:rPr>
      <w:sz w:val="20"/>
    </w:rPr>
  </w:style>
  <w:style w:type="paragraph" w:styleId="Footer">
    <w:name w:val="footer"/>
    <w:basedOn w:val="Normal"/>
    <w:link w:val="FooterChar"/>
    <w:uiPriority w:val="99"/>
    <w:unhideWhenUsed/>
    <w:rsid w:val="008A041C"/>
    <w:pPr>
      <w:tabs>
        <w:tab w:val="center" w:pos="4680"/>
        <w:tab w:val="right" w:pos="9360"/>
      </w:tabs>
    </w:pPr>
  </w:style>
  <w:style w:type="character" w:customStyle="1" w:styleId="FooterChar">
    <w:name w:val="Footer Char"/>
    <w:basedOn w:val="DefaultParagraphFont"/>
    <w:link w:val="Footer"/>
    <w:uiPriority w:val="99"/>
    <w:rsid w:val="008A041C"/>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https://doi.org/10.24867/11BE27Arsenovic"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Sheet1!$J$10</c:f>
              <c:strCache>
                <c:ptCount val="1"/>
                <c:pt idx="0">
                  <c:v>НИВО ОСПОСОБЉЕНОСТИ ЗА ХОД</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Sheet1!$I$11:$I$15</c:f>
              <c:numCache>
                <c:formatCode>General</c:formatCode>
                <c:ptCount val="5"/>
                <c:pt idx="0">
                  <c:v>0</c:v>
                </c:pt>
                <c:pt idx="1">
                  <c:v>1</c:v>
                </c:pt>
                <c:pt idx="2">
                  <c:v>2</c:v>
                </c:pt>
                <c:pt idx="3">
                  <c:v>3</c:v>
                </c:pt>
                <c:pt idx="4">
                  <c:v>4</c:v>
                </c:pt>
              </c:numCache>
            </c:numRef>
          </c:cat>
          <c:val>
            <c:numRef>
              <c:f>Sheet1!$J$11:$J$15</c:f>
              <c:numCache>
                <c:formatCode>General</c:formatCode>
                <c:ptCount val="5"/>
                <c:pt idx="0">
                  <c:v>6</c:v>
                </c:pt>
                <c:pt idx="1">
                  <c:v>17</c:v>
                </c:pt>
                <c:pt idx="2">
                  <c:v>45</c:v>
                </c:pt>
                <c:pt idx="3">
                  <c:v>31</c:v>
                </c:pt>
                <c:pt idx="4">
                  <c:v>5</c:v>
                </c:pt>
              </c:numCache>
            </c:numRef>
          </c:val>
          <c:extLst xmlns:c16r2="http://schemas.microsoft.com/office/drawing/2015/06/chart">
            <c:ext xmlns:c16="http://schemas.microsoft.com/office/drawing/2014/chart" uri="{C3380CC4-5D6E-409C-BE32-E72D297353CC}">
              <c16:uniqueId val="{00000000-9F4A-4BAF-BF8D-AB585CF50331}"/>
            </c:ext>
          </c:extLst>
        </c:ser>
        <c:ser>
          <c:idx val="1"/>
          <c:order val="1"/>
          <c:tx>
            <c:strRef>
              <c:f>Sheet1!$K$10</c:f>
              <c:strCache>
                <c:ptCount val="1"/>
                <c:pt idx="0">
                  <c:v>К-НИВО</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Sheet1!$I$11:$I$15</c:f>
              <c:numCache>
                <c:formatCode>General</c:formatCode>
                <c:ptCount val="5"/>
                <c:pt idx="0">
                  <c:v>0</c:v>
                </c:pt>
                <c:pt idx="1">
                  <c:v>1</c:v>
                </c:pt>
                <c:pt idx="2">
                  <c:v>2</c:v>
                </c:pt>
                <c:pt idx="3">
                  <c:v>3</c:v>
                </c:pt>
                <c:pt idx="4">
                  <c:v>4</c:v>
                </c:pt>
              </c:numCache>
            </c:numRef>
          </c:cat>
          <c:val>
            <c:numRef>
              <c:f>Sheet1!$K$11:$K$15</c:f>
              <c:numCache>
                <c:formatCode>General</c:formatCode>
                <c:ptCount val="5"/>
                <c:pt idx="0">
                  <c:v>6</c:v>
                </c:pt>
                <c:pt idx="1">
                  <c:v>29</c:v>
                </c:pt>
                <c:pt idx="2">
                  <c:v>54</c:v>
                </c:pt>
                <c:pt idx="3">
                  <c:v>13</c:v>
                </c:pt>
                <c:pt idx="4">
                  <c:v>2</c:v>
                </c:pt>
              </c:numCache>
            </c:numRef>
          </c:val>
          <c:extLst xmlns:c16r2="http://schemas.microsoft.com/office/drawing/2015/06/chart">
            <c:ext xmlns:c16="http://schemas.microsoft.com/office/drawing/2014/chart" uri="{C3380CC4-5D6E-409C-BE32-E72D297353CC}">
              <c16:uniqueId val="{00000001-9F4A-4BAF-BF8D-AB585CF50331}"/>
            </c:ext>
          </c:extLst>
        </c:ser>
        <c:dLbls>
          <c:dLblPos val="outEnd"/>
          <c:showLegendKey val="0"/>
          <c:showVal val="1"/>
          <c:showCatName val="0"/>
          <c:showSerName val="0"/>
          <c:showPercent val="0"/>
          <c:showBubbleSize val="0"/>
        </c:dLbls>
        <c:gapWidth val="150"/>
        <c:axId val="38820864"/>
        <c:axId val="38823040"/>
      </c:barChart>
      <c:catAx>
        <c:axId val="38820864"/>
        <c:scaling>
          <c:orientation val="minMax"/>
        </c:scaling>
        <c:delete val="0"/>
        <c:axPos val="b"/>
        <c:title>
          <c:tx>
            <c:rich>
              <a:bodyPr/>
              <a:lstStyle/>
              <a:p>
                <a:pPr>
                  <a:defRPr sz="700">
                    <a:latin typeface="Times New Roman" pitchFamily="18" charset="0"/>
                    <a:cs typeface="Times New Roman" pitchFamily="18" charset="0"/>
                  </a:defRPr>
                </a:pPr>
                <a:r>
                  <a:rPr lang="ru-RU" sz="700">
                    <a:latin typeface="Times New Roman" pitchFamily="18" charset="0"/>
                    <a:cs typeface="Times New Roman" pitchFamily="18" charset="0"/>
                  </a:rPr>
                  <a:t>КЛАСЕ</a:t>
                </a:r>
              </a:p>
            </c:rich>
          </c:tx>
          <c:overlay val="0"/>
        </c:title>
        <c:numFmt formatCode="General" sourceLinked="1"/>
        <c:majorTickMark val="out"/>
        <c:minorTickMark val="none"/>
        <c:tickLblPos val="nextTo"/>
        <c:crossAx val="38823040"/>
        <c:crosses val="autoZero"/>
        <c:auto val="1"/>
        <c:lblAlgn val="ctr"/>
        <c:lblOffset val="100"/>
        <c:noMultiLvlLbl val="0"/>
      </c:catAx>
      <c:valAx>
        <c:axId val="38823040"/>
        <c:scaling>
          <c:orientation val="minMax"/>
        </c:scaling>
        <c:delete val="0"/>
        <c:axPos val="l"/>
        <c:title>
          <c:tx>
            <c:rich>
              <a:bodyPr rot="-5400000" vert="horz"/>
              <a:lstStyle/>
              <a:p>
                <a:pPr>
                  <a:defRPr sz="700" b="1">
                    <a:latin typeface="Times New Roman" pitchFamily="18" charset="0"/>
                    <a:cs typeface="Times New Roman" pitchFamily="18" charset="0"/>
                  </a:defRPr>
                </a:pPr>
                <a:r>
                  <a:rPr lang="sr-Cyrl-RS" sz="700" b="1">
                    <a:latin typeface="Times New Roman" pitchFamily="18" charset="0"/>
                    <a:cs typeface="Times New Roman" pitchFamily="18" charset="0"/>
                  </a:rPr>
                  <a:t>БР.</a:t>
                </a:r>
                <a:r>
                  <a:rPr lang="sr-Cyrl-RS" sz="700" b="1" baseline="0">
                    <a:latin typeface="Times New Roman" pitchFamily="18" charset="0"/>
                    <a:cs typeface="Times New Roman" pitchFamily="18" charset="0"/>
                  </a:rPr>
                  <a:t> ИСПИТАНИКА</a:t>
                </a:r>
                <a:endParaRPr lang="en-US" sz="700" b="1">
                  <a:latin typeface="Times New Roman" pitchFamily="18" charset="0"/>
                  <a:cs typeface="Times New Roman" pitchFamily="18" charset="0"/>
                </a:endParaRPr>
              </a:p>
            </c:rich>
          </c:tx>
          <c:overlay val="0"/>
        </c:title>
        <c:numFmt formatCode="General" sourceLinked="1"/>
        <c:majorTickMark val="out"/>
        <c:minorTickMark val="none"/>
        <c:tickLblPos val="nextTo"/>
        <c:crossAx val="38820864"/>
        <c:crosses val="autoZero"/>
        <c:crossBetween val="between"/>
      </c:valAx>
    </c:plotArea>
    <c:legend>
      <c:legendPos val="b"/>
      <c:overlay val="0"/>
      <c:txPr>
        <a:bodyPr/>
        <a:lstStyle/>
        <a:p>
          <a:pPr>
            <a:defRPr sz="700"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Sheet1!$G$3</c:f>
              <c:strCache>
                <c:ptCount val="1"/>
                <c:pt idx="0">
                  <c:v>НИВО ОСПОСОБЉЕНОСТИ ЗА ХОД</c:v>
                </c:pt>
              </c:strCache>
            </c:strRef>
          </c:tx>
          <c:invertIfNegative val="0"/>
          <c:cat>
            <c:numRef>
              <c:f>Sheet1!$F$4:$F$6</c:f>
              <c:numCache>
                <c:formatCode>General</c:formatCode>
                <c:ptCount val="3"/>
                <c:pt idx="0">
                  <c:v>1</c:v>
                </c:pt>
                <c:pt idx="1">
                  <c:v>2</c:v>
                </c:pt>
                <c:pt idx="2">
                  <c:v>3</c:v>
                </c:pt>
              </c:numCache>
            </c:numRef>
          </c:cat>
          <c:val>
            <c:numRef>
              <c:f>Sheet1!$G$4:$G$6</c:f>
              <c:numCache>
                <c:formatCode>General</c:formatCode>
                <c:ptCount val="3"/>
                <c:pt idx="0">
                  <c:v>23</c:v>
                </c:pt>
                <c:pt idx="1">
                  <c:v>45</c:v>
                </c:pt>
                <c:pt idx="2">
                  <c:v>36</c:v>
                </c:pt>
              </c:numCache>
            </c:numRef>
          </c:val>
          <c:extLst xmlns:c16r2="http://schemas.microsoft.com/office/drawing/2015/06/chart">
            <c:ext xmlns:c16="http://schemas.microsoft.com/office/drawing/2014/chart" uri="{C3380CC4-5D6E-409C-BE32-E72D297353CC}">
              <c16:uniqueId val="{00000000-80FF-4ACA-8240-A8017D56BFB2}"/>
            </c:ext>
          </c:extLst>
        </c:ser>
        <c:dLbls>
          <c:showLegendKey val="0"/>
          <c:showVal val="0"/>
          <c:showCatName val="0"/>
          <c:showSerName val="0"/>
          <c:showPercent val="0"/>
          <c:showBubbleSize val="0"/>
        </c:dLbls>
        <c:gapWidth val="150"/>
        <c:axId val="38147584"/>
        <c:axId val="38149504"/>
      </c:barChart>
      <c:catAx>
        <c:axId val="38147584"/>
        <c:scaling>
          <c:orientation val="minMax"/>
        </c:scaling>
        <c:delete val="0"/>
        <c:axPos val="b"/>
        <c:title>
          <c:tx>
            <c:rich>
              <a:bodyPr/>
              <a:lstStyle/>
              <a:p>
                <a:pPr>
                  <a:defRPr sz="700" b="1">
                    <a:latin typeface="Times New Roman" pitchFamily="18" charset="0"/>
                    <a:cs typeface="Times New Roman" pitchFamily="18" charset="0"/>
                  </a:defRPr>
                </a:pPr>
                <a:r>
                  <a:rPr lang="sr-Cyrl-RS" sz="700" b="1">
                    <a:latin typeface="Times New Roman" pitchFamily="18" charset="0"/>
                    <a:cs typeface="Times New Roman" pitchFamily="18" charset="0"/>
                  </a:rPr>
                  <a:t>КЛАСЕ</a:t>
                </a:r>
                <a:endParaRPr lang="en-US" sz="700" b="1">
                  <a:latin typeface="Times New Roman" pitchFamily="18" charset="0"/>
                  <a:cs typeface="Times New Roman" pitchFamily="18" charset="0"/>
                </a:endParaRPr>
              </a:p>
            </c:rich>
          </c:tx>
          <c:overlay val="0"/>
        </c:title>
        <c:numFmt formatCode="General" sourceLinked="1"/>
        <c:majorTickMark val="out"/>
        <c:minorTickMark val="none"/>
        <c:tickLblPos val="nextTo"/>
        <c:crossAx val="38149504"/>
        <c:crosses val="autoZero"/>
        <c:auto val="1"/>
        <c:lblAlgn val="ctr"/>
        <c:lblOffset val="100"/>
        <c:noMultiLvlLbl val="0"/>
      </c:catAx>
      <c:valAx>
        <c:axId val="38149504"/>
        <c:scaling>
          <c:orientation val="minMax"/>
        </c:scaling>
        <c:delete val="0"/>
        <c:axPos val="l"/>
        <c:majorGridlines/>
        <c:title>
          <c:tx>
            <c:rich>
              <a:bodyPr rot="-5400000" vert="horz"/>
              <a:lstStyle/>
              <a:p>
                <a:pPr>
                  <a:defRPr sz="700" b="1">
                    <a:latin typeface="Times New Roman" pitchFamily="18" charset="0"/>
                    <a:cs typeface="Times New Roman" pitchFamily="18" charset="0"/>
                  </a:defRPr>
                </a:pPr>
                <a:r>
                  <a:rPr lang="sr-Cyrl-RS" sz="700" b="1" baseline="0">
                    <a:latin typeface="Times New Roman" pitchFamily="18" charset="0"/>
                    <a:cs typeface="Times New Roman" pitchFamily="18" charset="0"/>
                  </a:rPr>
                  <a:t>БТ. ПАЦИЈЕНАТА</a:t>
                </a:r>
                <a:endParaRPr lang="en-US" sz="700" b="1">
                  <a:latin typeface="Times New Roman" pitchFamily="18" charset="0"/>
                  <a:cs typeface="Times New Roman" pitchFamily="18" charset="0"/>
                </a:endParaRPr>
              </a:p>
            </c:rich>
          </c:tx>
          <c:overlay val="0"/>
        </c:title>
        <c:numFmt formatCode="General" sourceLinked="1"/>
        <c:majorTickMark val="out"/>
        <c:minorTickMark val="none"/>
        <c:tickLblPos val="nextTo"/>
        <c:crossAx val="3814758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079413150279293"/>
          <c:y val="7.9162350695467884E-2"/>
          <c:w val="0.78269905164997411"/>
          <c:h val="0.57198522850360034"/>
        </c:manualLayout>
      </c:layout>
      <c:barChart>
        <c:barDir val="col"/>
        <c:grouping val="clustered"/>
        <c:varyColors val="0"/>
        <c:ser>
          <c:idx val="0"/>
          <c:order val="0"/>
          <c:tx>
            <c:strRef>
              <c:f>Sheet1!$L$10</c:f>
              <c:strCache>
                <c:ptCount val="1"/>
                <c:pt idx="0">
                  <c:v>TUG</c:v>
                </c:pt>
              </c:strCache>
            </c:strRef>
          </c:tx>
          <c:spPr>
            <a:solidFill>
              <a:srgbClr val="DDDDDD"/>
            </a:solidFill>
          </c:spPr>
          <c:invertIfNegative val="0"/>
          <c:cat>
            <c:numRef>
              <c:f>Sheet1!$K$11:$K$13</c:f>
              <c:numCache>
                <c:formatCode>General</c:formatCode>
                <c:ptCount val="3"/>
                <c:pt idx="0">
                  <c:v>1</c:v>
                </c:pt>
                <c:pt idx="1">
                  <c:v>2</c:v>
                </c:pt>
                <c:pt idx="2">
                  <c:v>3</c:v>
                </c:pt>
              </c:numCache>
            </c:numRef>
          </c:cat>
          <c:val>
            <c:numRef>
              <c:f>Sheet1!$L$11:$L$13</c:f>
              <c:numCache>
                <c:formatCode>General</c:formatCode>
                <c:ptCount val="3"/>
                <c:pt idx="0">
                  <c:v>38</c:v>
                </c:pt>
                <c:pt idx="1">
                  <c:v>32</c:v>
                </c:pt>
                <c:pt idx="2">
                  <c:v>28</c:v>
                </c:pt>
              </c:numCache>
            </c:numRef>
          </c:val>
          <c:extLst xmlns:c16r2="http://schemas.microsoft.com/office/drawing/2015/06/chart">
            <c:ext xmlns:c16="http://schemas.microsoft.com/office/drawing/2014/chart" uri="{C3380CC4-5D6E-409C-BE32-E72D297353CC}">
              <c16:uniqueId val="{00000000-7A96-4A94-B0E3-8CD65B0DF99D}"/>
            </c:ext>
          </c:extLst>
        </c:ser>
        <c:ser>
          <c:idx val="1"/>
          <c:order val="1"/>
          <c:tx>
            <c:strRef>
              <c:f>Sheet1!$M$10</c:f>
              <c:strCache>
                <c:ptCount val="1"/>
                <c:pt idx="0">
                  <c:v>TMWT</c:v>
                </c:pt>
              </c:strCache>
            </c:strRef>
          </c:tx>
          <c:spPr>
            <a:solidFill>
              <a:srgbClr val="F37DC9"/>
            </a:solidFill>
          </c:spPr>
          <c:invertIfNegative val="0"/>
          <c:cat>
            <c:numRef>
              <c:f>Sheet1!$K$11:$K$13</c:f>
              <c:numCache>
                <c:formatCode>General</c:formatCode>
                <c:ptCount val="3"/>
                <c:pt idx="0">
                  <c:v>1</c:v>
                </c:pt>
                <c:pt idx="1">
                  <c:v>2</c:v>
                </c:pt>
                <c:pt idx="2">
                  <c:v>3</c:v>
                </c:pt>
              </c:numCache>
            </c:numRef>
          </c:cat>
          <c:val>
            <c:numRef>
              <c:f>Sheet1!$M$11:$M$13</c:f>
              <c:numCache>
                <c:formatCode>General</c:formatCode>
                <c:ptCount val="3"/>
                <c:pt idx="0">
                  <c:v>41</c:v>
                </c:pt>
                <c:pt idx="1">
                  <c:v>37</c:v>
                </c:pt>
                <c:pt idx="2">
                  <c:v>20</c:v>
                </c:pt>
              </c:numCache>
            </c:numRef>
          </c:val>
          <c:extLst xmlns:c16r2="http://schemas.microsoft.com/office/drawing/2015/06/chart">
            <c:ext xmlns:c16="http://schemas.microsoft.com/office/drawing/2014/chart" uri="{C3380CC4-5D6E-409C-BE32-E72D297353CC}">
              <c16:uniqueId val="{00000001-7A96-4A94-B0E3-8CD65B0DF99D}"/>
            </c:ext>
          </c:extLst>
        </c:ser>
        <c:dLbls>
          <c:showLegendKey val="0"/>
          <c:showVal val="0"/>
          <c:showCatName val="0"/>
          <c:showSerName val="0"/>
          <c:showPercent val="0"/>
          <c:showBubbleSize val="0"/>
        </c:dLbls>
        <c:gapWidth val="150"/>
        <c:axId val="39064320"/>
        <c:axId val="39066240"/>
      </c:barChart>
      <c:catAx>
        <c:axId val="39064320"/>
        <c:scaling>
          <c:orientation val="minMax"/>
        </c:scaling>
        <c:delete val="0"/>
        <c:axPos val="b"/>
        <c:title>
          <c:tx>
            <c:rich>
              <a:bodyPr/>
              <a:lstStyle/>
              <a:p>
                <a:pPr>
                  <a:defRPr sz="700">
                    <a:latin typeface="Times New Roman" pitchFamily="18" charset="0"/>
                    <a:cs typeface="Times New Roman" pitchFamily="18" charset="0"/>
                  </a:defRPr>
                </a:pPr>
                <a:r>
                  <a:rPr lang="ru-RU" sz="700">
                    <a:latin typeface="Times New Roman" pitchFamily="18" charset="0"/>
                    <a:cs typeface="Times New Roman" pitchFamily="18" charset="0"/>
                  </a:rPr>
                  <a:t>КЛАСЕ</a:t>
                </a:r>
              </a:p>
            </c:rich>
          </c:tx>
          <c:overlay val="0"/>
        </c:title>
        <c:numFmt formatCode="General" sourceLinked="1"/>
        <c:majorTickMark val="out"/>
        <c:minorTickMark val="none"/>
        <c:tickLblPos val="nextTo"/>
        <c:crossAx val="39066240"/>
        <c:crosses val="autoZero"/>
        <c:auto val="1"/>
        <c:lblAlgn val="ctr"/>
        <c:lblOffset val="100"/>
        <c:noMultiLvlLbl val="0"/>
      </c:catAx>
      <c:valAx>
        <c:axId val="39066240"/>
        <c:scaling>
          <c:orientation val="minMax"/>
        </c:scaling>
        <c:delete val="0"/>
        <c:axPos val="l"/>
        <c:majorGridlines/>
        <c:title>
          <c:tx>
            <c:rich>
              <a:bodyPr rot="-5400000" vert="horz"/>
              <a:lstStyle/>
              <a:p>
                <a:pPr>
                  <a:defRPr sz="700">
                    <a:latin typeface="Times New Roman" pitchFamily="18" charset="0"/>
                    <a:cs typeface="Times New Roman" pitchFamily="18" charset="0"/>
                  </a:defRPr>
                </a:pPr>
                <a:r>
                  <a:rPr lang="ru-RU" sz="700">
                    <a:latin typeface="Times New Roman" pitchFamily="18" charset="0"/>
                    <a:cs typeface="Times New Roman" pitchFamily="18" charset="0"/>
                  </a:rPr>
                  <a:t>БРОЈ ИСПИТАНИКА</a:t>
                </a:r>
              </a:p>
            </c:rich>
          </c:tx>
          <c:overlay val="0"/>
        </c:title>
        <c:numFmt formatCode="General" sourceLinked="1"/>
        <c:majorTickMark val="out"/>
        <c:minorTickMark val="none"/>
        <c:tickLblPos val="nextTo"/>
        <c:crossAx val="39064320"/>
        <c:crosses val="autoZero"/>
        <c:crossBetween val="between"/>
      </c:valAx>
    </c:plotArea>
    <c:legend>
      <c:legendPos val="b"/>
      <c:overlay val="0"/>
      <c:txPr>
        <a:bodyPr/>
        <a:lstStyle/>
        <a:p>
          <a:pPr>
            <a:defRPr sz="700" b="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Sheet1!$H$3:$H$21</c:f>
              <c:strCache>
                <c:ptCount val="19"/>
                <c:pt idx="0">
                  <c:v>ПОЛ</c:v>
                </c:pt>
                <c:pt idx="1">
                  <c:v>СТАРОСТ</c:v>
                </c:pt>
                <c:pt idx="2">
                  <c:v>MSPSS</c:v>
                </c:pt>
                <c:pt idx="3">
                  <c:v>ШКОЛА</c:v>
                </c:pt>
                <c:pt idx="4">
                  <c:v>ММSЕ</c:v>
                </c:pt>
                <c:pt idx="5">
                  <c:v>BDI</c:v>
                </c:pt>
                <c:pt idx="6">
                  <c:v>УЗРОК</c:v>
                </c:pt>
                <c:pt idx="7">
                  <c:v>НИВО</c:v>
                </c:pt>
                <c:pt idx="8">
                  <c:v>FCI</c:v>
                </c:pt>
                <c:pt idx="9">
                  <c:v>BMI</c:v>
                </c:pt>
                <c:pt idx="10">
                  <c:v>ДИАЈБЕТЕС</c:v>
                </c:pt>
                <c:pt idx="11">
                  <c:v>ФАНТОМСКИ БОЛ</c:v>
                </c:pt>
                <c:pt idx="12">
                  <c:v>КОНТРАКТУРА</c:v>
                </c:pt>
                <c:pt idx="13">
                  <c:v>РЕ ЕКСТЕНЗОРИ КУКА</c:v>
                </c:pt>
                <c:pt idx="14">
                  <c:v>ИЕ ПЛАНТАРНИ ФЛЕКСОРИ</c:v>
                </c:pt>
                <c:pt idx="15">
                  <c:v>ИЕ ФЛЕКСОРИ КУКА</c:v>
                </c:pt>
                <c:pt idx="16">
                  <c:v>БАЛАНС</c:v>
                </c:pt>
                <c:pt idx="17">
                  <c:v>ПУШАЧ</c:v>
                </c:pt>
                <c:pt idx="18">
                  <c:v>ВРЕМЕНСКИ ПЕРИОД ДО РЕХАБИЛИТАЦИЈЕ</c:v>
                </c:pt>
              </c:strCache>
            </c:strRef>
          </c:cat>
          <c:val>
            <c:numRef>
              <c:f>Sheet1!$I$3:$I$21</c:f>
              <c:numCache>
                <c:formatCode>General</c:formatCode>
                <c:ptCount val="19"/>
                <c:pt idx="0">
                  <c:v>0</c:v>
                </c:pt>
                <c:pt idx="1">
                  <c:v>0</c:v>
                </c:pt>
                <c:pt idx="2">
                  <c:v>0</c:v>
                </c:pt>
                <c:pt idx="3">
                  <c:v>0</c:v>
                </c:pt>
                <c:pt idx="4">
                  <c:v>0</c:v>
                </c:pt>
                <c:pt idx="5">
                  <c:v>9</c:v>
                </c:pt>
                <c:pt idx="6">
                  <c:v>0</c:v>
                </c:pt>
                <c:pt idx="7">
                  <c:v>0</c:v>
                </c:pt>
                <c:pt idx="8">
                  <c:v>0</c:v>
                </c:pt>
                <c:pt idx="9">
                  <c:v>0</c:v>
                </c:pt>
                <c:pt idx="10">
                  <c:v>0</c:v>
                </c:pt>
                <c:pt idx="11">
                  <c:v>3</c:v>
                </c:pt>
                <c:pt idx="12">
                  <c:v>0</c:v>
                </c:pt>
                <c:pt idx="13">
                  <c:v>0</c:v>
                </c:pt>
                <c:pt idx="14">
                  <c:v>0</c:v>
                </c:pt>
                <c:pt idx="15">
                  <c:v>0</c:v>
                </c:pt>
                <c:pt idx="16">
                  <c:v>0</c:v>
                </c:pt>
                <c:pt idx="17">
                  <c:v>1</c:v>
                </c:pt>
                <c:pt idx="18">
                  <c:v>0</c:v>
                </c:pt>
              </c:numCache>
            </c:numRef>
          </c:val>
          <c:extLst xmlns:c16r2="http://schemas.microsoft.com/office/drawing/2015/06/chart">
            <c:ext xmlns:c16="http://schemas.microsoft.com/office/drawing/2014/chart" uri="{C3380CC4-5D6E-409C-BE32-E72D297353CC}">
              <c16:uniqueId val="{00000000-D8C2-48A4-9DCB-CD86D6586CEB}"/>
            </c:ext>
          </c:extLst>
        </c:ser>
        <c:dLbls>
          <c:dLblPos val="outEnd"/>
          <c:showLegendKey val="0"/>
          <c:showVal val="1"/>
          <c:showCatName val="0"/>
          <c:showSerName val="0"/>
          <c:showPercent val="0"/>
          <c:showBubbleSize val="0"/>
        </c:dLbls>
        <c:gapWidth val="150"/>
        <c:axId val="38746368"/>
        <c:axId val="38753408"/>
      </c:barChart>
      <c:catAx>
        <c:axId val="38746368"/>
        <c:scaling>
          <c:orientation val="minMax"/>
        </c:scaling>
        <c:delete val="0"/>
        <c:axPos val="b"/>
        <c:numFmt formatCode="General" sourceLinked="0"/>
        <c:majorTickMark val="out"/>
        <c:minorTickMark val="none"/>
        <c:tickLblPos val="nextTo"/>
        <c:txPr>
          <a:bodyPr/>
          <a:lstStyle/>
          <a:p>
            <a:pPr>
              <a:defRPr sz="700" b="1"/>
            </a:pPr>
            <a:endParaRPr lang="en-US"/>
          </a:p>
        </c:txPr>
        <c:crossAx val="38753408"/>
        <c:crosses val="autoZero"/>
        <c:auto val="1"/>
        <c:lblAlgn val="ctr"/>
        <c:lblOffset val="100"/>
        <c:noMultiLvlLbl val="0"/>
      </c:catAx>
      <c:valAx>
        <c:axId val="38753408"/>
        <c:scaling>
          <c:orientation val="minMax"/>
        </c:scaling>
        <c:delete val="0"/>
        <c:axPos val="l"/>
        <c:numFmt formatCode="General" sourceLinked="1"/>
        <c:majorTickMark val="out"/>
        <c:minorTickMark val="none"/>
        <c:tickLblPos val="nextTo"/>
        <c:crossAx val="3874636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7AA0474-B923-46D6-9991-8409435D6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2017</Words>
  <Characters>11502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13493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Zeljen</cp:lastModifiedBy>
  <cp:revision>3</cp:revision>
  <dcterms:created xsi:type="dcterms:W3CDTF">2020-12-14T19:10:00Z</dcterms:created>
  <dcterms:modified xsi:type="dcterms:W3CDTF">2020-12-14T19:19:00Z</dcterms:modified>
</cp:coreProperties>
</file>