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1247"/>
        <w:gridCol w:w="8391"/>
      </w:tblGrid>
      <w:tr w:rsidR="00366EA3" w:rsidRPr="00366EA3" w14:paraId="469B1E44" w14:textId="77777777" w:rsidTr="002E6D0A">
        <w:trPr>
          <w:trHeight w:val="737"/>
          <w:jc w:val="center"/>
        </w:trPr>
        <w:tc>
          <w:tcPr>
            <w:tcW w:w="1247" w:type="dxa"/>
            <w:vAlign w:val="center"/>
          </w:tcPr>
          <w:p w14:paraId="275F6BBD" w14:textId="77777777" w:rsidR="00366EA3" w:rsidRPr="00366EA3" w:rsidRDefault="00366EA3" w:rsidP="00366E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1782E41E" wp14:editId="1376057A">
                  <wp:extent cx="409575" cy="4476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  <w:vAlign w:val="center"/>
          </w:tcPr>
          <w:p w14:paraId="12B50C07" w14:textId="77777777" w:rsidR="00366EA3" w:rsidRPr="00366EA3" w:rsidRDefault="00366EA3" w:rsidP="008463AD">
            <w:pPr>
              <w:jc w:val="center"/>
              <w:rPr>
                <w:rFonts w:ascii="Arial Black" w:eastAsia="Times New Roman" w:hAnsi="Arial Black" w:cs="Times New Roman"/>
                <w:sz w:val="28"/>
                <w:szCs w:val="28"/>
                <w:lang w:val="sr-Latn-CS"/>
              </w:rPr>
            </w:pPr>
            <w:r w:rsidRPr="00366EA3">
              <w:rPr>
                <w:rFonts w:ascii="Arial Black" w:eastAsia="Times New Roman" w:hAnsi="Arial Black" w:cs="Times New Roman"/>
                <w:sz w:val="28"/>
                <w:szCs w:val="28"/>
                <w:lang w:val="sr-Latn-CS"/>
              </w:rPr>
              <w:t>Zbornik radova Fakulteta tehničkih nauka, Novi Sad</w:t>
            </w:r>
          </w:p>
        </w:tc>
      </w:tr>
    </w:tbl>
    <w:p w14:paraId="47E4F99C" w14:textId="34F6E884" w:rsidR="00366EA3" w:rsidRDefault="00366EA3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Latn-CS"/>
        </w:rPr>
      </w:pPr>
      <w:r w:rsidRPr="00366EA3">
        <w:rPr>
          <w:rFonts w:ascii="Times New Roman" w:eastAsia="Times New Roman" w:hAnsi="Times New Roman" w:cs="Times New Roman"/>
          <w:b/>
          <w:szCs w:val="24"/>
        </w:rPr>
        <w:t>UDK</w:t>
      </w:r>
      <w:r w:rsidR="00245755">
        <w:rPr>
          <w:rFonts w:ascii="Times New Roman" w:eastAsia="Times New Roman" w:hAnsi="Times New Roman" w:cs="Times New Roman"/>
          <w:b/>
          <w:szCs w:val="24"/>
        </w:rPr>
        <w:t>:</w:t>
      </w:r>
      <w:r w:rsidRPr="00366EA3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="00E11FB1" w:rsidRPr="00E11FB1">
        <w:rPr>
          <w:rFonts w:ascii="Times New Roman" w:eastAsia="Times New Roman" w:hAnsi="Times New Roman" w:cs="Times New Roman"/>
          <w:b/>
          <w:szCs w:val="24"/>
        </w:rPr>
        <w:t>537.8</w:t>
      </w:r>
    </w:p>
    <w:p w14:paraId="3648A685" w14:textId="19409965" w:rsidR="000C7C19" w:rsidRPr="00366EA3" w:rsidRDefault="000C7C19" w:rsidP="008463AD">
      <w:pPr>
        <w:jc w:val="right"/>
        <w:rPr>
          <w:rFonts w:ascii="Times New Roman" w:eastAsia="Times New Roman" w:hAnsi="Times New Roman" w:cs="Times New Roman"/>
          <w:b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szCs w:val="24"/>
          <w:lang w:val="sr-Latn-CS"/>
        </w:rPr>
        <w:t>DOI:</w:t>
      </w:r>
      <w:r w:rsidR="00245755">
        <w:rPr>
          <w:rFonts w:ascii="Times New Roman" w:eastAsia="Times New Roman" w:hAnsi="Times New Roman" w:cs="Times New Roman"/>
          <w:b/>
          <w:szCs w:val="24"/>
          <w:lang w:val="sr-Latn-CS"/>
        </w:rPr>
        <w:t xml:space="preserve"> </w:t>
      </w:r>
      <w:hyperlink r:id="rId10" w:history="1">
        <w:r w:rsidR="00E11FB1" w:rsidRPr="00E11FB1">
          <w:rPr>
            <w:rStyle w:val="Hyperlink"/>
            <w:rFonts w:ascii="Times New Roman" w:eastAsia="Times New Roman" w:hAnsi="Times New Roman" w:cs="Times New Roman"/>
            <w:b/>
            <w:szCs w:val="24"/>
            <w:lang w:val="sr-Latn-CS"/>
          </w:rPr>
          <w:t>https://doi.org/10.24867/22BE02Visnjic</w:t>
        </w:r>
      </w:hyperlink>
    </w:p>
    <w:p w14:paraId="1C2915C9" w14:textId="77777777" w:rsidR="00366EA3" w:rsidRPr="00887C2F" w:rsidRDefault="00366EA3" w:rsidP="008463AD">
      <w:pPr>
        <w:jc w:val="center"/>
        <w:rPr>
          <w:rFonts w:ascii="Times New Roman" w:eastAsia="Times New Roman" w:hAnsi="Times New Roman" w:cs="Times New Roman"/>
          <w:sz w:val="12"/>
          <w:szCs w:val="24"/>
          <w:lang w:val="sr-Latn-CS"/>
        </w:rPr>
      </w:pPr>
    </w:p>
    <w:p w14:paraId="6FEA68D3" w14:textId="119A82C6" w:rsidR="00366EA3" w:rsidRPr="00203C31" w:rsidRDefault="007C0FA6" w:rsidP="00203C31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  <w:r w:rsidRPr="007C0FA6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N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UMERIČKO MODELOVANJE RASPODELE ELEKTRIČNOG POLJA I POTENCIJALA U</w:t>
      </w:r>
      <w:r w:rsidR="00CC1377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 IZOLACIONOM SLOJU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 VN KABLOVA U PRISUSTVU PUKOTINA</w:t>
      </w:r>
    </w:p>
    <w:p w14:paraId="03899041" w14:textId="77777777" w:rsidR="004B5BEF" w:rsidRPr="002E7FE7" w:rsidRDefault="004B5BEF" w:rsidP="004B5BEF">
      <w:pPr>
        <w:jc w:val="center"/>
        <w:rPr>
          <w:rFonts w:ascii="Times New Roman" w:eastAsia="Times New Roman" w:hAnsi="Times New Roman" w:cs="Times New Roman"/>
          <w:b/>
          <w:iCs/>
          <w:sz w:val="12"/>
          <w:szCs w:val="24"/>
          <w:lang w:val="sr-Latn-CS"/>
        </w:rPr>
      </w:pPr>
    </w:p>
    <w:p w14:paraId="705DC952" w14:textId="4A4725A0" w:rsidR="004B5BEF" w:rsidRPr="00DD7B4A" w:rsidRDefault="004B5BEF" w:rsidP="004B5BEF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Latn-RS"/>
        </w:rPr>
      </w:pPr>
      <w:r w:rsidRPr="004B5BEF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>NUMERICAL MODELING OF ELECTRIC FIELD AND POTENTIAL DISTRIBUTION IN WATER TREED INSULATION LAYER OF HV POWER CABLES</w:t>
      </w:r>
    </w:p>
    <w:p w14:paraId="1DA54896" w14:textId="77777777" w:rsidR="00366EA3" w:rsidRPr="00366EA3" w:rsidRDefault="00366EA3" w:rsidP="00366EA3">
      <w:pPr>
        <w:jc w:val="center"/>
        <w:rPr>
          <w:rFonts w:ascii="Times New Roman" w:eastAsia="Times New Roman" w:hAnsi="Times New Roman" w:cs="Times New Roman"/>
          <w:iCs/>
          <w:sz w:val="12"/>
          <w:szCs w:val="24"/>
          <w:lang w:val="sr-Latn-CS"/>
        </w:rPr>
      </w:pPr>
    </w:p>
    <w:p w14:paraId="68DE695F" w14:textId="1DF0D482" w:rsidR="00366EA3" w:rsidRDefault="007C0FA6" w:rsidP="00366EA3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Aleksandra Višnjić</w:t>
      </w:r>
      <w:r w:rsidR="003A61A9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,</w:t>
      </w:r>
      <w:r w:rsidR="00366EA3" w:rsidRPr="00366EA3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 </w:t>
      </w:r>
      <w:r w:rsidR="0019258F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Karolina Kasaš-Lažetić, </w:t>
      </w:r>
      <w:r w:rsidR="00366EA3" w:rsidRPr="00366EA3">
        <w:rPr>
          <w:rFonts w:ascii="Times New Roman" w:eastAsia="Times New Roman" w:hAnsi="Times New Roman" w:cs="Times New Roman"/>
          <w:i/>
          <w:iCs/>
          <w:sz w:val="24"/>
          <w:szCs w:val="24"/>
          <w:lang w:val="sr-Latn-CS"/>
        </w:rPr>
        <w:t>Fakultet tehničkih nauka, Novi Sad</w:t>
      </w:r>
    </w:p>
    <w:p w14:paraId="377D5B45" w14:textId="77777777" w:rsidR="00366EA3" w:rsidRPr="00366EA3" w:rsidRDefault="00366EA3" w:rsidP="00366EA3">
      <w:pPr>
        <w:rPr>
          <w:rFonts w:ascii="Times New Roman" w:eastAsia="Times New Roman" w:hAnsi="Times New Roman" w:cs="Times New Roman"/>
          <w:i/>
          <w:iCs/>
          <w:sz w:val="12"/>
          <w:szCs w:val="12"/>
          <w:lang w:val="sr-Latn-CS"/>
        </w:rPr>
      </w:pPr>
    </w:p>
    <w:p w14:paraId="5F234646" w14:textId="77777777" w:rsidR="00366EA3" w:rsidRPr="00366EA3" w:rsidRDefault="00366EA3" w:rsidP="00366EA3">
      <w:pPr>
        <w:rPr>
          <w:rFonts w:ascii="Times New Roman" w:eastAsia="Times New Roman" w:hAnsi="Times New Roman" w:cs="Times New Roman"/>
          <w:iCs/>
          <w:sz w:val="12"/>
          <w:szCs w:val="12"/>
          <w:lang w:val="sr-Latn-CS"/>
        </w:rPr>
        <w:sectPr w:rsidR="00366EA3" w:rsidRPr="00366EA3" w:rsidSect="00871C1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74BCDF5" w14:textId="0150E7F1" w:rsidR="00366EA3" w:rsidRPr="00366EA3" w:rsidRDefault="00366EA3" w:rsidP="00366EA3">
      <w:pPr>
        <w:spacing w:after="12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 w:rsidRPr="00366EA3">
        <w:rPr>
          <w:rFonts w:ascii="Times New Roman" w:eastAsia="Times New Roman" w:hAnsi="Times New Roman" w:cs="Times New Roman"/>
          <w:b/>
          <w:iCs/>
          <w:szCs w:val="20"/>
          <w:lang w:val="sr-Latn-CS"/>
        </w:rPr>
        <w:lastRenderedPageBreak/>
        <w:t>Oblast –</w:t>
      </w:r>
      <w:r w:rsidR="007C0FA6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 ELEKTROTEHNIKA</w:t>
      </w:r>
      <w:r w:rsidR="00AD791A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 </w:t>
      </w:r>
      <w:r w:rsidR="00C51F97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I RAČUNARSTVO</w:t>
      </w:r>
    </w:p>
    <w:p w14:paraId="245908A1" w14:textId="1B530FED" w:rsidR="00551FBA" w:rsidRPr="00B73F34" w:rsidRDefault="00366EA3" w:rsidP="00F30321">
      <w:pPr>
        <w:spacing w:after="120"/>
        <w:rPr>
          <w:rFonts w:cstheme="minorHAnsi"/>
          <w:i/>
          <w:szCs w:val="20"/>
          <w:lang w:val="sr-Latn-RS"/>
        </w:rPr>
      </w:pPr>
      <w:r w:rsidRPr="00366EA3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Kratak sadržaj –</w:t>
      </w:r>
      <w:r w:rsidR="001551B1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 </w:t>
      </w:r>
      <w:r w:rsidR="00551FBA">
        <w:rPr>
          <w:rFonts w:cstheme="minorHAnsi"/>
          <w:i/>
          <w:szCs w:val="20"/>
          <w:lang w:val="sr-Latn-RS"/>
        </w:rPr>
        <w:t xml:space="preserve">U ovom radu je izvršena </w:t>
      </w:r>
      <w:r w:rsidR="00C51F97">
        <w:rPr>
          <w:rFonts w:cstheme="minorHAnsi"/>
          <w:i/>
          <w:szCs w:val="20"/>
          <w:lang w:val="sr-Latn-RS"/>
        </w:rPr>
        <w:t xml:space="preserve">analiza </w:t>
      </w:r>
      <w:r w:rsidR="00C51F97" w:rsidRPr="00C51F97">
        <w:rPr>
          <w:rFonts w:cstheme="minorHAnsi"/>
          <w:i/>
          <w:szCs w:val="20"/>
          <w:lang w:val="sr-Latn-RS"/>
        </w:rPr>
        <w:t>uti</w:t>
      </w:r>
      <w:r w:rsidR="002E7FE7">
        <w:rPr>
          <w:rFonts w:cstheme="minorHAnsi"/>
          <w:i/>
          <w:szCs w:val="20"/>
          <w:lang w:val="sr-Latn-RS"/>
        </w:rPr>
        <w:softHyphen/>
      </w:r>
      <w:r w:rsidR="00C51F97" w:rsidRPr="00C51F97">
        <w:rPr>
          <w:rFonts w:cstheme="minorHAnsi"/>
          <w:i/>
          <w:szCs w:val="20"/>
          <w:lang w:val="sr-Latn-RS"/>
        </w:rPr>
        <w:t>ca</w:t>
      </w:r>
      <w:r w:rsidR="002E7FE7">
        <w:rPr>
          <w:rFonts w:cstheme="minorHAnsi"/>
          <w:i/>
          <w:szCs w:val="20"/>
          <w:lang w:val="sr-Latn-RS"/>
        </w:rPr>
        <w:softHyphen/>
      </w:r>
      <w:r w:rsidR="00C51F97" w:rsidRPr="00C51F97">
        <w:rPr>
          <w:rFonts w:cstheme="minorHAnsi"/>
          <w:i/>
          <w:szCs w:val="20"/>
          <w:lang w:val="sr-Latn-RS"/>
        </w:rPr>
        <w:t>ja nepravilnosti u strukturi čvrstog dielekt</w:t>
      </w:r>
      <w:r w:rsidR="003F60E6">
        <w:rPr>
          <w:rFonts w:cstheme="minorHAnsi"/>
          <w:i/>
          <w:szCs w:val="20"/>
          <w:lang w:val="sr-Latn-RS"/>
        </w:rPr>
        <w:t>r</w:t>
      </w:r>
      <w:r w:rsidR="00C51F97" w:rsidRPr="00C51F97">
        <w:rPr>
          <w:rFonts w:cstheme="minorHAnsi"/>
          <w:i/>
          <w:szCs w:val="20"/>
          <w:lang w:val="sr-Latn-RS"/>
        </w:rPr>
        <w:t>ika</w:t>
      </w:r>
      <w:r w:rsidR="00C51F97">
        <w:rPr>
          <w:rFonts w:cstheme="minorHAnsi"/>
          <w:i/>
          <w:szCs w:val="20"/>
          <w:lang w:val="sr-Latn-RS"/>
        </w:rPr>
        <w:t xml:space="preserve"> visokona</w:t>
      </w:r>
      <w:r w:rsidR="002E7FE7">
        <w:rPr>
          <w:rFonts w:cstheme="minorHAnsi"/>
          <w:i/>
          <w:szCs w:val="20"/>
          <w:lang w:val="sr-Latn-RS"/>
        </w:rPr>
        <w:softHyphen/>
      </w:r>
      <w:r w:rsidR="00C51F97">
        <w:rPr>
          <w:rFonts w:cstheme="minorHAnsi"/>
          <w:i/>
          <w:szCs w:val="20"/>
          <w:lang w:val="sr-Latn-RS"/>
        </w:rPr>
        <w:t xml:space="preserve">ponskog </w:t>
      </w:r>
      <w:r w:rsidR="0005557B">
        <w:rPr>
          <w:rFonts w:cstheme="minorHAnsi"/>
          <w:i/>
          <w:szCs w:val="20"/>
          <w:lang w:val="sr-Latn-RS"/>
        </w:rPr>
        <w:t>kabla</w:t>
      </w:r>
      <w:r w:rsidR="00C51F97" w:rsidRPr="00C51F97">
        <w:rPr>
          <w:rFonts w:cstheme="minorHAnsi"/>
          <w:i/>
          <w:szCs w:val="20"/>
          <w:lang w:val="sr-Latn-RS"/>
        </w:rPr>
        <w:t xml:space="preserve">, u vidu šupljina, nečistoća, kao i pojave električnog i vodenog grananja (eng. treeing), na </w:t>
      </w:r>
      <w:r w:rsidR="00C51F97" w:rsidRPr="002E7FE7">
        <w:rPr>
          <w:rFonts w:cstheme="minorHAnsi"/>
          <w:i/>
          <w:szCs w:val="20"/>
          <w:lang w:val="sr-Latn-RS"/>
        </w:rPr>
        <w:t>raspo</w:t>
      </w:r>
      <w:r w:rsidR="002E7FE7" w:rsidRPr="002E7FE7">
        <w:rPr>
          <w:rFonts w:cstheme="minorHAnsi"/>
          <w:i/>
          <w:szCs w:val="20"/>
          <w:lang w:val="sr-Latn-RS"/>
        </w:rPr>
        <w:softHyphen/>
      </w:r>
      <w:r w:rsidR="00C51F97" w:rsidRPr="002E7FE7">
        <w:rPr>
          <w:rFonts w:cstheme="minorHAnsi"/>
          <w:i/>
          <w:szCs w:val="20"/>
          <w:lang w:val="sr-Latn-RS"/>
        </w:rPr>
        <w:t>delu</w:t>
      </w:r>
      <w:r w:rsidR="00C51F97" w:rsidRPr="00C51F97">
        <w:rPr>
          <w:rFonts w:cstheme="minorHAnsi"/>
          <w:i/>
          <w:szCs w:val="20"/>
          <w:lang w:val="sr-Latn-RS"/>
        </w:rPr>
        <w:t xml:space="preserve"> električnog polja i </w:t>
      </w:r>
      <w:r w:rsidR="0005557B">
        <w:rPr>
          <w:rFonts w:cstheme="minorHAnsi"/>
          <w:i/>
          <w:szCs w:val="20"/>
          <w:lang w:val="sr-Latn-RS"/>
        </w:rPr>
        <w:t xml:space="preserve">električnog skalar </w:t>
      </w:r>
      <w:r w:rsidR="00C51F97" w:rsidRPr="00C51F97">
        <w:rPr>
          <w:rFonts w:cstheme="minorHAnsi"/>
          <w:i/>
          <w:szCs w:val="20"/>
          <w:lang w:val="sr-Latn-RS"/>
        </w:rPr>
        <w:t>po</w:t>
      </w:r>
      <w:r w:rsidR="00C51F97">
        <w:rPr>
          <w:rFonts w:cstheme="minorHAnsi"/>
          <w:i/>
          <w:szCs w:val="20"/>
          <w:lang w:val="sr-Latn-RS"/>
        </w:rPr>
        <w:t>tencijala unutar kabla</w:t>
      </w:r>
      <w:r w:rsidR="00C51F97" w:rsidRPr="00C51F97">
        <w:rPr>
          <w:rFonts w:cstheme="minorHAnsi"/>
          <w:i/>
          <w:szCs w:val="20"/>
          <w:lang w:val="sr-Latn-RS"/>
        </w:rPr>
        <w:t>.</w:t>
      </w:r>
      <w:r w:rsidR="00C51F97">
        <w:rPr>
          <w:rFonts w:cstheme="minorHAnsi"/>
          <w:i/>
          <w:szCs w:val="20"/>
          <w:lang w:val="sr-Latn-RS"/>
        </w:rPr>
        <w:t xml:space="preserve"> </w:t>
      </w:r>
      <w:r w:rsidR="003302F5" w:rsidRPr="003302F5">
        <w:rPr>
          <w:rFonts w:cstheme="minorHAnsi"/>
          <w:i/>
          <w:szCs w:val="20"/>
          <w:lang w:val="sr-Latn-RS"/>
        </w:rPr>
        <w:t>Svi proračuni su izvršeni pomoću COMSOL Multiphysics softverskog paketa</w:t>
      </w:r>
      <w:r w:rsidR="00C51F97">
        <w:rPr>
          <w:rFonts w:cstheme="minorHAnsi"/>
          <w:i/>
          <w:szCs w:val="20"/>
          <w:lang w:val="sr-Latn-RS"/>
        </w:rPr>
        <w:t>,</w:t>
      </w:r>
      <w:r w:rsidR="003302F5" w:rsidRPr="003302F5">
        <w:rPr>
          <w:rFonts w:cstheme="minorHAnsi"/>
          <w:i/>
          <w:szCs w:val="20"/>
          <w:lang w:val="sr-Latn-RS"/>
        </w:rPr>
        <w:t xml:space="preserve"> koji se bazira na metodi konačnih elemenata. </w:t>
      </w:r>
      <w:r w:rsidR="00264D78" w:rsidRPr="00264D78">
        <w:rPr>
          <w:rFonts w:cstheme="minorHAnsi"/>
          <w:i/>
          <w:szCs w:val="20"/>
          <w:lang w:val="sr-Latn-RS"/>
        </w:rPr>
        <w:t>Za potrebe analize</w:t>
      </w:r>
      <w:r w:rsidR="00C51F97">
        <w:rPr>
          <w:rFonts w:cstheme="minorHAnsi"/>
          <w:i/>
          <w:szCs w:val="20"/>
          <w:lang w:val="sr-Latn-RS"/>
        </w:rPr>
        <w:t>,</w:t>
      </w:r>
      <w:r w:rsidR="00264D78" w:rsidRPr="00264D78">
        <w:rPr>
          <w:rFonts w:cstheme="minorHAnsi"/>
          <w:i/>
          <w:szCs w:val="20"/>
          <w:lang w:val="sr-Latn-RS"/>
        </w:rPr>
        <w:t xml:space="preserve"> korišćen </w:t>
      </w:r>
      <w:r w:rsidR="00C51F97">
        <w:rPr>
          <w:rFonts w:cstheme="minorHAnsi"/>
          <w:i/>
          <w:szCs w:val="20"/>
          <w:lang w:val="sr-Latn-RS"/>
        </w:rPr>
        <w:t xml:space="preserve">je </w:t>
      </w:r>
      <w:r w:rsidR="00264D78" w:rsidRPr="00264D78">
        <w:rPr>
          <w:rFonts w:cstheme="minorHAnsi"/>
          <w:i/>
          <w:szCs w:val="20"/>
          <w:lang w:val="sr-Latn-RS"/>
        </w:rPr>
        <w:t>mo</w:t>
      </w:r>
      <w:r w:rsidR="002E7FE7">
        <w:rPr>
          <w:rFonts w:cstheme="minorHAnsi"/>
          <w:i/>
          <w:szCs w:val="20"/>
          <w:lang w:val="sr-Latn-RS"/>
        </w:rPr>
        <w:softHyphen/>
      </w:r>
      <w:r w:rsidR="00264D78" w:rsidRPr="00264D78">
        <w:rPr>
          <w:rFonts w:cstheme="minorHAnsi"/>
          <w:i/>
          <w:szCs w:val="20"/>
          <w:lang w:val="sr-Latn-RS"/>
        </w:rPr>
        <w:t>del jednožilnog kablovskog voda 64/110 kV tip A2</w:t>
      </w:r>
      <w:r w:rsidR="009F068D">
        <w:rPr>
          <w:rFonts w:cstheme="minorHAnsi"/>
          <w:i/>
          <w:szCs w:val="20"/>
          <w:lang w:val="sr-Latn-RS"/>
        </w:rPr>
        <w:t>XS</w:t>
      </w:r>
      <w:r w:rsidR="002E7FE7">
        <w:rPr>
          <w:rFonts w:cstheme="minorHAnsi"/>
          <w:i/>
          <w:szCs w:val="20"/>
          <w:lang w:val="sr-Latn-RS"/>
        </w:rPr>
        <w:t xml:space="preserve"> </w:t>
      </w:r>
      <w:r w:rsidR="009F068D">
        <w:rPr>
          <w:rFonts w:cstheme="minorHAnsi"/>
          <w:i/>
          <w:szCs w:val="20"/>
          <w:lang w:val="sr-Latn-RS"/>
        </w:rPr>
        <w:t xml:space="preserve">(FL)2Y (stara oznaka XHE 49-A). </w:t>
      </w:r>
      <w:r w:rsidR="00C51F97">
        <w:rPr>
          <w:rFonts w:cstheme="minorHAnsi"/>
          <w:i/>
          <w:szCs w:val="20"/>
          <w:lang w:val="sr-Latn-RS"/>
        </w:rPr>
        <w:t>Dobijeni r</w:t>
      </w:r>
      <w:r w:rsidR="00264D78">
        <w:rPr>
          <w:rFonts w:cstheme="minorHAnsi"/>
          <w:i/>
          <w:szCs w:val="20"/>
          <w:lang w:val="sr-Latn-RS"/>
        </w:rPr>
        <w:t>ez</w:t>
      </w:r>
      <w:r w:rsidR="00C51F97">
        <w:rPr>
          <w:rFonts w:cstheme="minorHAnsi"/>
          <w:i/>
          <w:szCs w:val="20"/>
          <w:lang w:val="sr-Latn-RS"/>
        </w:rPr>
        <w:t xml:space="preserve">ultati </w:t>
      </w:r>
      <w:r w:rsidR="004F0606">
        <w:rPr>
          <w:rFonts w:cstheme="minorHAnsi"/>
          <w:i/>
          <w:szCs w:val="20"/>
          <w:lang w:val="sr-Latn-RS"/>
        </w:rPr>
        <w:t xml:space="preserve">su </w:t>
      </w:r>
      <w:r w:rsidR="00F30321">
        <w:rPr>
          <w:rFonts w:cstheme="minorHAnsi"/>
          <w:i/>
          <w:szCs w:val="20"/>
          <w:lang w:val="sr-Latn-RS"/>
        </w:rPr>
        <w:t>pokazali da pojava vodenog grananja dovodi do značaj</w:t>
      </w:r>
      <w:r w:rsidR="002E7FE7">
        <w:rPr>
          <w:rFonts w:cstheme="minorHAnsi"/>
          <w:i/>
          <w:szCs w:val="20"/>
          <w:lang w:val="sr-Latn-RS"/>
        </w:rPr>
        <w:softHyphen/>
      </w:r>
      <w:r w:rsidR="00F30321">
        <w:rPr>
          <w:rFonts w:cstheme="minorHAnsi"/>
          <w:i/>
          <w:szCs w:val="20"/>
          <w:lang w:val="sr-Latn-RS"/>
        </w:rPr>
        <w:t xml:space="preserve">nih </w:t>
      </w:r>
      <w:r w:rsidR="002733F7">
        <w:rPr>
          <w:rFonts w:cstheme="minorHAnsi"/>
          <w:i/>
          <w:szCs w:val="20"/>
          <w:lang w:val="sr-Latn-RS"/>
        </w:rPr>
        <w:t xml:space="preserve">promena </w:t>
      </w:r>
      <w:r w:rsidR="00F30321">
        <w:rPr>
          <w:rFonts w:cstheme="minorHAnsi"/>
          <w:i/>
          <w:szCs w:val="20"/>
          <w:lang w:val="sr-Latn-RS"/>
        </w:rPr>
        <w:t xml:space="preserve">u raspodeli električnog polja i </w:t>
      </w:r>
      <w:r w:rsidR="0005557B">
        <w:rPr>
          <w:rFonts w:cstheme="minorHAnsi"/>
          <w:i/>
          <w:szCs w:val="20"/>
          <w:lang w:val="sr-Latn-RS"/>
        </w:rPr>
        <w:t xml:space="preserve">električnog skalar </w:t>
      </w:r>
      <w:r w:rsidR="00F30321">
        <w:rPr>
          <w:rFonts w:cstheme="minorHAnsi"/>
          <w:i/>
          <w:szCs w:val="20"/>
          <w:lang w:val="sr-Latn-RS"/>
        </w:rPr>
        <w:t>pot</w:t>
      </w:r>
      <w:r w:rsidR="002733F7">
        <w:rPr>
          <w:rFonts w:cstheme="minorHAnsi"/>
          <w:i/>
          <w:szCs w:val="20"/>
          <w:lang w:val="sr-Latn-RS"/>
        </w:rPr>
        <w:t>encijala unutar kabla. Uočeno</w:t>
      </w:r>
      <w:r w:rsidR="00F30321">
        <w:rPr>
          <w:rFonts w:cstheme="minorHAnsi"/>
          <w:i/>
          <w:szCs w:val="20"/>
          <w:lang w:val="sr-Latn-RS"/>
        </w:rPr>
        <w:t xml:space="preserve"> je drastično povećanje električnog polja</w:t>
      </w:r>
      <w:r w:rsidR="002733F7">
        <w:rPr>
          <w:rFonts w:cstheme="minorHAnsi"/>
          <w:i/>
          <w:szCs w:val="20"/>
          <w:lang w:val="sr-Latn-RS"/>
        </w:rPr>
        <w:t xml:space="preserve"> na vrhovima grana</w:t>
      </w:r>
      <w:r w:rsidR="00F30321">
        <w:rPr>
          <w:rFonts w:cstheme="minorHAnsi"/>
          <w:i/>
          <w:szCs w:val="20"/>
          <w:lang w:val="sr-Latn-RS"/>
        </w:rPr>
        <w:t xml:space="preserve"> </w:t>
      </w:r>
      <w:r w:rsidR="002733F7">
        <w:rPr>
          <w:rFonts w:cstheme="minorHAnsi"/>
          <w:i/>
          <w:szCs w:val="20"/>
          <w:lang w:val="sr-Latn-RS"/>
        </w:rPr>
        <w:t xml:space="preserve">koje predstavlja preduslov za dalju degradaciju izolacije, </w:t>
      </w:r>
      <w:r w:rsidR="00203C31">
        <w:rPr>
          <w:rFonts w:cstheme="minorHAnsi"/>
          <w:i/>
          <w:szCs w:val="20"/>
          <w:lang w:val="sr-Latn-RS"/>
        </w:rPr>
        <w:t>što</w:t>
      </w:r>
      <w:r w:rsidR="002733F7">
        <w:rPr>
          <w:rFonts w:cstheme="minorHAnsi"/>
          <w:i/>
          <w:szCs w:val="20"/>
          <w:lang w:val="sr-Latn-RS"/>
        </w:rPr>
        <w:t xml:space="preserve"> u krajnjoj insta</w:t>
      </w:r>
      <w:r w:rsidR="009E6892">
        <w:rPr>
          <w:rFonts w:cstheme="minorHAnsi"/>
          <w:i/>
          <w:szCs w:val="20"/>
          <w:lang w:val="sr-Latn-RS"/>
        </w:rPr>
        <w:t>n</w:t>
      </w:r>
      <w:r w:rsidR="002733F7">
        <w:rPr>
          <w:rFonts w:cstheme="minorHAnsi"/>
          <w:i/>
          <w:szCs w:val="20"/>
          <w:lang w:val="sr-Latn-RS"/>
        </w:rPr>
        <w:t>ci dovodi do proboja.</w:t>
      </w:r>
    </w:p>
    <w:p w14:paraId="06ACCC27" w14:textId="53392623" w:rsidR="00551FBA" w:rsidRDefault="000C7C19" w:rsidP="00F30321">
      <w:pPr>
        <w:spacing w:after="120"/>
        <w:rPr>
          <w:rFonts w:ascii="Times New Roman" w:eastAsia="Times New Roman" w:hAnsi="Times New Roman" w:cs="Times New Roman"/>
          <w:i/>
          <w:iCs/>
          <w:szCs w:val="20"/>
          <w:lang w:val="sr-Latn-CS"/>
        </w:rPr>
      </w:pPr>
      <w:r w:rsidRPr="00366EA3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Ključne reči:</w:t>
      </w:r>
      <w:r w:rsidRPr="00366EA3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VN kablovski vod, vektor jačine električnog polja,</w:t>
      </w:r>
      <w:r w:rsidR="0005557B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električni skalar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potencijal, voden</w:t>
      </w:r>
      <w:r w:rsidR="001870A2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o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</w:t>
      </w:r>
      <w:r w:rsidR="0045394B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i 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električn</w:t>
      </w:r>
      <w:r w:rsidR="001870A2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o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</w:t>
      </w:r>
      <w:r w:rsidR="001870A2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grananje</w:t>
      </w:r>
    </w:p>
    <w:p w14:paraId="108092BC" w14:textId="44387233" w:rsidR="009E6892" w:rsidRDefault="00551FBA" w:rsidP="00F30321">
      <w:pPr>
        <w:spacing w:after="120"/>
        <w:rPr>
          <w:rFonts w:cstheme="minorHAnsi"/>
          <w:i/>
          <w:szCs w:val="20"/>
          <w:lang w:val="sr-Latn-RS"/>
        </w:rPr>
      </w:pPr>
      <w:r w:rsidRPr="001870A2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Abstract –</w:t>
      </w:r>
      <w:r w:rsidR="00F26252" w:rsidRPr="001870A2">
        <w:rPr>
          <w:rFonts w:cstheme="minorHAnsi"/>
          <w:i/>
          <w:szCs w:val="20"/>
          <w:lang w:val="sr-Latn-RS"/>
        </w:rPr>
        <w:t xml:space="preserve"> </w:t>
      </w:r>
      <w:r w:rsidR="0045394B" w:rsidRPr="00667B79">
        <w:rPr>
          <w:rFonts w:cstheme="minorHAnsi"/>
          <w:i/>
          <w:szCs w:val="20"/>
          <w:lang w:val="sr-Latn-RS"/>
        </w:rPr>
        <w:t xml:space="preserve">This paper analyses the impact of irregularities in a solid dielectric of the high-voltage cable in the form of voids and impurities. It also analyses how the electric and water treeing appearance affects the distribution of the electric field and electric </w:t>
      </w:r>
      <w:r w:rsidR="0005557B">
        <w:rPr>
          <w:rFonts w:cstheme="minorHAnsi"/>
          <w:i/>
          <w:szCs w:val="20"/>
          <w:lang w:val="sr-Latn-RS"/>
        </w:rPr>
        <w:t xml:space="preserve">scalar </w:t>
      </w:r>
      <w:r w:rsidR="0045394B" w:rsidRPr="00667B79">
        <w:rPr>
          <w:rFonts w:cstheme="minorHAnsi"/>
          <w:i/>
          <w:szCs w:val="20"/>
          <w:lang w:val="sr-Latn-RS"/>
        </w:rPr>
        <w:t>potential inside the cable. All calculat</w:t>
      </w:r>
      <w:r w:rsidR="0045394B" w:rsidRPr="0045394B">
        <w:rPr>
          <w:rFonts w:cstheme="minorHAnsi"/>
          <w:i/>
          <w:szCs w:val="20"/>
          <w:lang w:val="sr-Latn-RS"/>
        </w:rPr>
        <w:t xml:space="preserve">ions were performed </w:t>
      </w:r>
      <w:r w:rsidR="009E6892">
        <w:rPr>
          <w:rFonts w:cstheme="minorHAnsi"/>
          <w:i/>
          <w:szCs w:val="20"/>
          <w:lang w:val="sr-Latn-RS"/>
        </w:rPr>
        <w:t>applying</w:t>
      </w:r>
      <w:r w:rsidR="009E6892" w:rsidRPr="0045394B">
        <w:rPr>
          <w:rFonts w:cstheme="minorHAnsi"/>
          <w:i/>
          <w:szCs w:val="20"/>
          <w:lang w:val="sr-Latn-RS"/>
        </w:rPr>
        <w:t xml:space="preserve"> </w:t>
      </w:r>
      <w:r w:rsidR="0045394B" w:rsidRPr="0045394B">
        <w:rPr>
          <w:rFonts w:cstheme="minorHAnsi"/>
          <w:i/>
          <w:szCs w:val="20"/>
          <w:lang w:val="sr-Latn-RS"/>
        </w:rPr>
        <w:t xml:space="preserve">the COMSOL Multiphysics software package based on </w:t>
      </w:r>
      <w:r w:rsidR="006B6967">
        <w:rPr>
          <w:rFonts w:cstheme="minorHAnsi"/>
          <w:i/>
          <w:szCs w:val="20"/>
          <w:lang w:val="sr-Latn-RS"/>
        </w:rPr>
        <w:t>finite element method.</w:t>
      </w:r>
      <w:r w:rsidR="0045394B" w:rsidRPr="0045394B">
        <w:rPr>
          <w:rFonts w:cstheme="minorHAnsi"/>
          <w:i/>
          <w:szCs w:val="20"/>
          <w:lang w:val="sr-Latn-RS"/>
        </w:rPr>
        <w:t xml:space="preserve"> For analysis purposes, a model of a single-core cable line 64/110 kV type A2XS(FL)2Y (old identification XHE 49-A) was </w:t>
      </w:r>
      <w:r w:rsidR="0005557B">
        <w:rPr>
          <w:rFonts w:cstheme="minorHAnsi"/>
          <w:i/>
          <w:szCs w:val="20"/>
          <w:lang w:val="sr-Latn-RS"/>
        </w:rPr>
        <w:t>applied</w:t>
      </w:r>
      <w:r w:rsidR="0045394B" w:rsidRPr="0045394B">
        <w:rPr>
          <w:rFonts w:cstheme="minorHAnsi"/>
          <w:i/>
          <w:szCs w:val="20"/>
          <w:lang w:val="sr-Latn-RS"/>
        </w:rPr>
        <w:t xml:space="preserve">. </w:t>
      </w:r>
      <w:r w:rsidR="009E6892" w:rsidRPr="009E6892">
        <w:rPr>
          <w:rFonts w:cstheme="minorHAnsi"/>
          <w:i/>
          <w:szCs w:val="20"/>
          <w:lang w:val="sr-Latn-RS"/>
        </w:rPr>
        <w:t xml:space="preserve">The obtained results showed that the occurrence of water </w:t>
      </w:r>
      <w:r w:rsidR="006B6967">
        <w:rPr>
          <w:rFonts w:cstheme="minorHAnsi"/>
          <w:i/>
          <w:szCs w:val="20"/>
          <w:lang w:val="sr-Latn-RS"/>
        </w:rPr>
        <w:t>treeing</w:t>
      </w:r>
      <w:r w:rsidR="006B6967" w:rsidRPr="009E6892">
        <w:rPr>
          <w:rFonts w:cstheme="minorHAnsi"/>
          <w:i/>
          <w:szCs w:val="20"/>
          <w:lang w:val="sr-Latn-RS"/>
        </w:rPr>
        <w:t xml:space="preserve"> </w:t>
      </w:r>
      <w:r w:rsidR="009E6892" w:rsidRPr="009E6892">
        <w:rPr>
          <w:rFonts w:cstheme="minorHAnsi"/>
          <w:i/>
          <w:szCs w:val="20"/>
          <w:lang w:val="sr-Latn-RS"/>
        </w:rPr>
        <w:t>leads to significant changes in the</w:t>
      </w:r>
      <w:r w:rsidR="00456FC3">
        <w:rPr>
          <w:rFonts w:cstheme="minorHAnsi"/>
          <w:i/>
          <w:szCs w:val="20"/>
          <w:lang w:val="sr-Latn-RS"/>
        </w:rPr>
        <w:t xml:space="preserve"> distribution of</w:t>
      </w:r>
      <w:r w:rsidR="009E6892" w:rsidRPr="009E6892">
        <w:rPr>
          <w:rFonts w:cstheme="minorHAnsi"/>
          <w:i/>
          <w:szCs w:val="20"/>
          <w:lang w:val="sr-Latn-RS"/>
        </w:rPr>
        <w:t xml:space="preserve"> electric field and </w:t>
      </w:r>
      <w:r w:rsidR="0005557B">
        <w:rPr>
          <w:rFonts w:cstheme="minorHAnsi"/>
          <w:i/>
          <w:szCs w:val="20"/>
          <w:lang w:val="sr-Latn-RS"/>
        </w:rPr>
        <w:t xml:space="preserve">electric scalar </w:t>
      </w:r>
      <w:r w:rsidR="009E6892" w:rsidRPr="009E6892">
        <w:rPr>
          <w:rFonts w:cstheme="minorHAnsi"/>
          <w:i/>
          <w:szCs w:val="20"/>
          <w:lang w:val="sr-Latn-RS"/>
        </w:rPr>
        <w:t>potential</w:t>
      </w:r>
      <w:r w:rsidR="006B6967">
        <w:rPr>
          <w:rFonts w:cstheme="minorHAnsi"/>
          <w:i/>
          <w:szCs w:val="20"/>
          <w:lang w:val="sr-Latn-RS"/>
        </w:rPr>
        <w:t xml:space="preserve"> </w:t>
      </w:r>
      <w:r w:rsidR="009E6892" w:rsidRPr="009E6892">
        <w:rPr>
          <w:rFonts w:cstheme="minorHAnsi"/>
          <w:i/>
          <w:szCs w:val="20"/>
          <w:lang w:val="sr-Latn-RS"/>
        </w:rPr>
        <w:t xml:space="preserve">inside the cable. A drastic increase in the electric field at the </w:t>
      </w:r>
      <w:r w:rsidR="009E6892" w:rsidRPr="00A602A8">
        <w:rPr>
          <w:rFonts w:cstheme="minorHAnsi"/>
          <w:i/>
          <w:szCs w:val="20"/>
          <w:lang w:val="sr-Latn-RS"/>
        </w:rPr>
        <w:t>tips of the branches was observed</w:t>
      </w:r>
      <w:r w:rsidR="009E6892" w:rsidRPr="009E6892">
        <w:rPr>
          <w:rFonts w:cstheme="minorHAnsi"/>
          <w:i/>
          <w:szCs w:val="20"/>
          <w:lang w:val="sr-Latn-RS"/>
        </w:rPr>
        <w:t>, which is a prerequisite for further degradation of the insulation, which ultimately leads to</w:t>
      </w:r>
      <w:r w:rsidR="00456FC3">
        <w:rPr>
          <w:rFonts w:cstheme="minorHAnsi"/>
          <w:i/>
          <w:szCs w:val="20"/>
          <w:lang w:val="sr-Latn-RS"/>
        </w:rPr>
        <w:t xml:space="preserve"> </w:t>
      </w:r>
      <w:r w:rsidR="009E6892" w:rsidRPr="009E6892">
        <w:rPr>
          <w:rFonts w:cstheme="minorHAnsi"/>
          <w:i/>
          <w:szCs w:val="20"/>
          <w:lang w:val="sr-Latn-RS"/>
        </w:rPr>
        <w:t>breakdown.</w:t>
      </w:r>
    </w:p>
    <w:p w14:paraId="5AB2BC54" w14:textId="4481F5EE" w:rsidR="00526A09" w:rsidRDefault="000C7C19" w:rsidP="00F30321">
      <w:pPr>
        <w:spacing w:after="120"/>
        <w:rPr>
          <w:rFonts w:ascii="Times New Roman" w:hAnsi="Times New Roman" w:cs="Times New Roman"/>
          <w:i/>
          <w:szCs w:val="20"/>
          <w:lang w:val="sr-Latn-RS"/>
        </w:rPr>
      </w:pP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Keywords</w:t>
      </w:r>
      <w:r w:rsidR="00366EA3" w:rsidRPr="00366EA3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:</w:t>
      </w:r>
      <w:r w:rsidR="00366EA3" w:rsidRPr="00366EA3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HV cable, </w:t>
      </w:r>
      <w:r w:rsidR="00551FBA" w:rsidRP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electric field strength vector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, </w:t>
      </w:r>
      <w:r w:rsidR="00551FBA" w:rsidRP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electric </w:t>
      </w:r>
      <w:r w:rsidR="0005557B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scalar </w:t>
      </w:r>
      <w:r w:rsidR="00551FBA" w:rsidRP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potential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, water </w:t>
      </w:r>
      <w:r w:rsidR="0045394B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>and</w:t>
      </w:r>
      <w:r w:rsidR="00551FBA">
        <w:rPr>
          <w:rFonts w:ascii="Times New Roman" w:eastAsia="Times New Roman" w:hAnsi="Times New Roman" w:cs="Times New Roman"/>
          <w:i/>
          <w:iCs/>
          <w:szCs w:val="20"/>
          <w:lang w:val="sr-Latn-CS"/>
        </w:rPr>
        <w:t xml:space="preserve"> electric treeing</w:t>
      </w:r>
    </w:p>
    <w:p w14:paraId="10C16DE7" w14:textId="73B1AE30" w:rsidR="00366EA3" w:rsidRPr="00B73F34" w:rsidRDefault="00366EA3" w:rsidP="001F58A6">
      <w:pPr>
        <w:rPr>
          <w:rFonts w:ascii="Times New Roman" w:hAnsi="Times New Roman" w:cs="Times New Roman"/>
          <w:i/>
          <w:szCs w:val="20"/>
          <w:lang w:val="sr-Latn-RS"/>
        </w:rPr>
      </w:pPr>
      <w:r w:rsidRPr="00366EA3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1. UVOD</w:t>
      </w:r>
    </w:p>
    <w:p w14:paraId="60163E9E" w14:textId="77777777" w:rsidR="002746BD" w:rsidRPr="00B065A0" w:rsidRDefault="00003F56" w:rsidP="002746BD">
      <w:pPr>
        <w:spacing w:before="60"/>
        <w:rPr>
          <w:lang w:val="sr-Latn-RS"/>
        </w:rPr>
      </w:pPr>
      <w:r w:rsidRPr="00F21F92">
        <w:rPr>
          <w:lang w:val="sr-Latn-RS"/>
        </w:rPr>
        <w:t>Savremeni razvoj industrije i privrede, uz osvajanje novih tehnologija, doveli su do naglog povećanja potrebe za</w:t>
      </w:r>
      <w:r w:rsidR="00203C31">
        <w:rPr>
          <w:lang w:val="sr-Latn-RS"/>
        </w:rPr>
        <w:t xml:space="preserve"> </w:t>
      </w:r>
      <w:r w:rsidR="002746BD" w:rsidRPr="001F58A6">
        <w:rPr>
          <w:rFonts w:ascii="Times New Roman" w:eastAsia="Times New Roman" w:hAnsi="Times New Roman" w:cs="Times New Roman"/>
          <w:iCs/>
          <w:szCs w:val="20"/>
          <w:lang w:val="sr-Latn-CS"/>
        </w:rPr>
        <w:t>______________________________________</w:t>
      </w:r>
      <w:r w:rsidR="002746BD">
        <w:rPr>
          <w:rFonts w:ascii="Times New Roman" w:eastAsia="Times New Roman" w:hAnsi="Times New Roman" w:cs="Times New Roman"/>
          <w:iCs/>
          <w:szCs w:val="20"/>
          <w:lang w:val="sr-Latn-CS"/>
        </w:rPr>
        <w:t>________</w:t>
      </w:r>
    </w:p>
    <w:p w14:paraId="506D103C" w14:textId="77777777" w:rsidR="002746BD" w:rsidRDefault="002746BD" w:rsidP="002746BD">
      <w:pPr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 w:rsidRPr="001F58A6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NAPOMENA:</w:t>
      </w: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 </w:t>
      </w:r>
    </w:p>
    <w:p w14:paraId="63D9ADE7" w14:textId="02E70B19" w:rsidR="002746BD" w:rsidRDefault="002746BD" w:rsidP="002746BD">
      <w:pPr>
        <w:spacing w:before="60"/>
        <w:rPr>
          <w:lang w:val="sr-Latn-RS"/>
        </w:rPr>
      </w:pPr>
      <w:r w:rsidRPr="00B065A0">
        <w:rPr>
          <w:rFonts w:ascii="Times New Roman" w:eastAsia="Times New Roman" w:hAnsi="Times New Roman" w:cs="Times New Roman"/>
          <w:b/>
          <w:iCs/>
          <w:szCs w:val="20"/>
          <w:lang w:val="sl-SI"/>
        </w:rPr>
        <w:t>Ovaj rad proistekao je iz master rada čiji mentor je bila</w:t>
      </w:r>
      <w:r>
        <w:rPr>
          <w:rFonts w:ascii="Times New Roman" w:eastAsia="Times New Roman" w:hAnsi="Times New Roman" w:cs="Times New Roman"/>
          <w:b/>
          <w:iCs/>
          <w:szCs w:val="20"/>
          <w:lang w:val="sl-SI"/>
        </w:rPr>
        <w:t xml:space="preserve"> vanr. prof. dr Karolina Kasaš-Lažetić</w:t>
      </w:r>
      <w:r w:rsidR="00E11FB1">
        <w:rPr>
          <w:lang w:val="sr-Latn-RS"/>
        </w:rPr>
        <w:t>.</w:t>
      </w:r>
    </w:p>
    <w:p w14:paraId="533C3652" w14:textId="5B0BDDEE" w:rsidR="009F068D" w:rsidRPr="00203C31" w:rsidRDefault="00203C31" w:rsidP="00E11FB1">
      <w:pPr>
        <w:rPr>
          <w:rFonts w:ascii="Times New Roman" w:eastAsia="Times New Roman" w:hAnsi="Times New Roman" w:cs="Times New Roman"/>
          <w:b/>
          <w:iCs/>
          <w:szCs w:val="20"/>
          <w:lang w:val="sl-SI"/>
        </w:rPr>
      </w:pPr>
      <w:r>
        <w:rPr>
          <w:lang w:val="sr-Latn-RS"/>
        </w:rPr>
        <w:lastRenderedPageBreak/>
        <w:t xml:space="preserve">električnom energijom. Iz tog razloga došlo je do </w:t>
      </w:r>
      <w:r w:rsidR="00003F56" w:rsidRPr="00F21F92">
        <w:rPr>
          <w:lang w:val="sr-Latn-RS"/>
        </w:rPr>
        <w:t>ekspanzije u konstrukciji svih delova elektroenergetskog sistema.</w:t>
      </w:r>
      <w:r w:rsidR="00003F56">
        <w:rPr>
          <w:lang w:val="sr-Latn-RS"/>
        </w:rPr>
        <w:t xml:space="preserve"> </w:t>
      </w:r>
      <w:r w:rsidR="00003F56" w:rsidRPr="00003F56">
        <w:rPr>
          <w:lang w:val="sr-Latn-RS"/>
        </w:rPr>
        <w:t>Kablovi, kao jedan od osnovnih elemenata elektroenergetskog sistema, zauzimaju značajno mesto u distribuciji</w:t>
      </w:r>
      <w:r w:rsidR="0005557B">
        <w:rPr>
          <w:lang w:val="sr-Latn-RS"/>
        </w:rPr>
        <w:t>,</w:t>
      </w:r>
      <w:r w:rsidR="00003F56" w:rsidRPr="00003F56">
        <w:rPr>
          <w:lang w:val="sr-Latn-RS"/>
        </w:rPr>
        <w:t xml:space="preserve"> </w:t>
      </w:r>
      <w:r w:rsidR="00FA1058">
        <w:rPr>
          <w:lang w:val="sr-Latn-RS"/>
        </w:rPr>
        <w:t xml:space="preserve">a sve više </w:t>
      </w:r>
      <w:r w:rsidR="00003F56" w:rsidRPr="00003F56">
        <w:rPr>
          <w:lang w:val="sr-Latn-RS"/>
        </w:rPr>
        <w:t>i</w:t>
      </w:r>
      <w:r w:rsidR="00FA1058">
        <w:rPr>
          <w:lang w:val="sr-Latn-RS"/>
        </w:rPr>
        <w:t xml:space="preserve"> u</w:t>
      </w:r>
      <w:r w:rsidR="00003F56" w:rsidRPr="00003F56">
        <w:rPr>
          <w:lang w:val="sr-Latn-RS"/>
        </w:rPr>
        <w:t xml:space="preserve"> prenosu električne energije. </w:t>
      </w:r>
    </w:p>
    <w:p w14:paraId="45891B93" w14:textId="6CAEEA22" w:rsidR="009F068D" w:rsidRPr="00B527EB" w:rsidRDefault="00003F56" w:rsidP="00B527EB">
      <w:pPr>
        <w:rPr>
          <w:rFonts w:ascii="Times New Roman" w:eastAsia="Times New Roman" w:hAnsi="Times New Roman" w:cs="Times New Roman"/>
          <w:b/>
          <w:iCs/>
          <w:szCs w:val="20"/>
          <w:lang w:val="sl-SI"/>
        </w:rPr>
      </w:pPr>
      <w:r w:rsidRPr="00003F56">
        <w:rPr>
          <w:lang w:val="sr-Latn-RS"/>
        </w:rPr>
        <w:t>U poslednjih nekoliko decenija je naročito zabeležen rastući trend primene visokonaponskih kablova, čime su otvorena razna pitanja u pogledu unapređenja i razvoja novih konstrukcijskih rešenja, materija</w:t>
      </w:r>
      <w:r w:rsidR="0019258F">
        <w:rPr>
          <w:lang w:val="sr-Latn-RS"/>
        </w:rPr>
        <w:t>la</w:t>
      </w:r>
      <w:r w:rsidRPr="00003F56">
        <w:rPr>
          <w:lang w:val="sr-Latn-RS"/>
        </w:rPr>
        <w:t xml:space="preserve">, kao i </w:t>
      </w:r>
      <w:r w:rsidR="0005557B">
        <w:rPr>
          <w:lang w:val="sr-Latn-RS"/>
        </w:rPr>
        <w:t>efikasnijih</w:t>
      </w:r>
      <w:r w:rsidR="0005557B" w:rsidRPr="00003F56">
        <w:rPr>
          <w:lang w:val="sr-Latn-RS"/>
        </w:rPr>
        <w:t xml:space="preserve"> </w:t>
      </w:r>
      <w:r w:rsidRPr="00003F56">
        <w:rPr>
          <w:lang w:val="sr-Latn-RS"/>
        </w:rPr>
        <w:t xml:space="preserve">metoda za potrebe održavanja i monitoringa kablovskih vodova. </w:t>
      </w:r>
      <w:r w:rsidRPr="00F21F92">
        <w:rPr>
          <w:lang w:val="sr-Latn-RS"/>
        </w:rPr>
        <w:t>Posebna pažnja prilikom projektov</w:t>
      </w:r>
      <w:r>
        <w:rPr>
          <w:lang w:val="sr-Latn-RS"/>
        </w:rPr>
        <w:t>a</w:t>
      </w:r>
      <w:r w:rsidRPr="00F21F92">
        <w:rPr>
          <w:lang w:val="sr-Latn-RS"/>
        </w:rPr>
        <w:t xml:space="preserve">nja kablovskih vodova se pridaje dimezionisanju izolacionog sistema, kao </w:t>
      </w:r>
      <w:r w:rsidR="0005557B" w:rsidRPr="00F21F92">
        <w:rPr>
          <w:lang w:val="sr-Latn-RS"/>
        </w:rPr>
        <w:t>element</w:t>
      </w:r>
      <w:r w:rsidR="0005557B">
        <w:rPr>
          <w:lang w:val="sr-Latn-RS"/>
        </w:rPr>
        <w:t>a</w:t>
      </w:r>
      <w:r w:rsidR="0005557B" w:rsidRPr="00F21F92">
        <w:rPr>
          <w:lang w:val="sr-Latn-RS"/>
        </w:rPr>
        <w:t xml:space="preserve"> </w:t>
      </w:r>
      <w:r w:rsidRPr="00F21F92">
        <w:rPr>
          <w:lang w:val="sr-Latn-RS"/>
        </w:rPr>
        <w:t>koji je izložen najvećem elekt</w:t>
      </w:r>
      <w:r w:rsidR="0005557B">
        <w:rPr>
          <w:lang w:val="sr-Latn-RS"/>
        </w:rPr>
        <w:t>r</w:t>
      </w:r>
      <w:r w:rsidRPr="00F21F92">
        <w:rPr>
          <w:lang w:val="sr-Latn-RS"/>
        </w:rPr>
        <w:t>ičnom naprezanju i koji dominantno određuje faktor pouzd</w:t>
      </w:r>
      <w:r w:rsidR="0005557B">
        <w:rPr>
          <w:lang w:val="sr-Latn-RS"/>
        </w:rPr>
        <w:t>an</w:t>
      </w:r>
      <w:r w:rsidRPr="00F21F92">
        <w:rPr>
          <w:lang w:val="sr-Latn-RS"/>
        </w:rPr>
        <w:t xml:space="preserve">osti rada. </w:t>
      </w:r>
      <w:r w:rsidR="009F068D" w:rsidRPr="00F21F92">
        <w:rPr>
          <w:lang w:val="sr-Latn-RS"/>
        </w:rPr>
        <w:t>Na nivou današnj</w:t>
      </w:r>
      <w:r w:rsidR="00BD6A8D">
        <w:rPr>
          <w:lang w:val="sr-Latn-RS"/>
        </w:rPr>
        <w:t xml:space="preserve">eg tehnološkog razvoja, </w:t>
      </w:r>
      <w:r w:rsidR="009F068D" w:rsidRPr="00F21F92">
        <w:rPr>
          <w:lang w:val="sr-Latn-RS"/>
        </w:rPr>
        <w:t>najveću primenu imaju kablovi sa sintetičkom izolacijom</w:t>
      </w:r>
      <w:r w:rsidR="00B065A0">
        <w:rPr>
          <w:lang w:val="sr-Latn-RS"/>
        </w:rPr>
        <w:t xml:space="preserve">, </w:t>
      </w:r>
      <w:r w:rsidR="00B065A0" w:rsidRPr="00F21F92">
        <w:rPr>
          <w:lang w:val="sr-Latn-RS"/>
        </w:rPr>
        <w:t>pri čemu je umreženi polietilen</w:t>
      </w:r>
      <w:r w:rsidR="00B065A0">
        <w:rPr>
          <w:lang w:val="sr-Latn-RS"/>
        </w:rPr>
        <w:t xml:space="preserve"> (XLPE)</w:t>
      </w:r>
      <w:r w:rsidR="00B065A0" w:rsidRPr="00F21F92">
        <w:rPr>
          <w:lang w:val="sr-Latn-RS"/>
        </w:rPr>
        <w:t xml:space="preserve"> potisnuo</w:t>
      </w:r>
      <w:r w:rsidR="00B065A0">
        <w:rPr>
          <w:lang w:val="sr-Latn-RS"/>
        </w:rPr>
        <w:t xml:space="preserve"> sve druge </w:t>
      </w:r>
      <w:r w:rsidRPr="00F21F92">
        <w:rPr>
          <w:lang w:val="sr-Latn-RS"/>
        </w:rPr>
        <w:t>materijale. Međutim, pored dobrih električnih, mehaničkih i termičkih karakteristika</w:t>
      </w:r>
      <w:r w:rsidR="0019258F">
        <w:rPr>
          <w:lang w:val="sr-Latn-RS"/>
        </w:rPr>
        <w:t>,</w:t>
      </w:r>
      <w:r w:rsidRPr="00F21F92">
        <w:rPr>
          <w:lang w:val="sr-Latn-RS"/>
        </w:rPr>
        <w:t xml:space="preserve"> koje su ga izdvojile od ostalih materijala, glavni nedostatak izolacije od umreženog polietilena ogleda se u njegovoj osetljivosti na parcijalna pražnjenja </w:t>
      </w:r>
      <w:r w:rsidR="00F30321">
        <w:rPr>
          <w:lang w:val="sr-Latn-RS"/>
        </w:rPr>
        <w:t xml:space="preserve">i efekte električnog i vodenog grananja (eng. </w:t>
      </w:r>
      <w:r w:rsidR="00F30321" w:rsidRPr="00F30321">
        <w:rPr>
          <w:i/>
          <w:lang w:val="sr-Latn-RS"/>
        </w:rPr>
        <w:t>treeing</w:t>
      </w:r>
      <w:r w:rsidR="00F30321">
        <w:rPr>
          <w:lang w:val="sr-Latn-RS"/>
        </w:rPr>
        <w:t>) [1]</w:t>
      </w:r>
      <w:r w:rsidRPr="00F21F92">
        <w:rPr>
          <w:lang w:val="sr-Latn-RS"/>
        </w:rPr>
        <w:t>.</w:t>
      </w:r>
      <w:r w:rsidRPr="00003F56">
        <w:rPr>
          <w:lang w:val="sr-Latn-RS"/>
        </w:rPr>
        <w:t xml:space="preserve"> </w:t>
      </w:r>
    </w:p>
    <w:p w14:paraId="10519DEB" w14:textId="7FF411C0" w:rsidR="00FC7D81" w:rsidRDefault="00003F56" w:rsidP="001551B1">
      <w:pPr>
        <w:spacing w:before="60"/>
        <w:rPr>
          <w:lang w:val="sr-Latn-RS"/>
        </w:rPr>
      </w:pPr>
      <w:r w:rsidRPr="00F21F92">
        <w:rPr>
          <w:lang w:val="sr-Latn-RS"/>
        </w:rPr>
        <w:t>U osnovi, materijali koji se koriste za izradu izolacije, u svojoj strukturi nisu idealni, već sadrže brojne defekte u vidu uključaka, mikrošupljina i raznih drugih zaprljanja. Ova nehomogenost izolacije predstavlja rezulatat karakte</w:t>
      </w:r>
      <w:r w:rsidR="00E11FB1">
        <w:rPr>
          <w:lang w:val="sr-Latn-RS"/>
        </w:rPr>
        <w:softHyphen/>
      </w:r>
      <w:r w:rsidRPr="00F21F92">
        <w:rPr>
          <w:lang w:val="sr-Latn-RS"/>
        </w:rPr>
        <w:t>ristika upotrebljenog materija</w:t>
      </w:r>
      <w:r w:rsidR="0019258F">
        <w:rPr>
          <w:lang w:val="sr-Latn-RS"/>
        </w:rPr>
        <w:t>la</w:t>
      </w:r>
      <w:r w:rsidRPr="00F21F92">
        <w:rPr>
          <w:lang w:val="sr-Latn-RS"/>
        </w:rPr>
        <w:t>, konstrukcije kabla, pri</w:t>
      </w:r>
      <w:r w:rsidR="00E11FB1">
        <w:rPr>
          <w:lang w:val="sr-Latn-RS"/>
        </w:rPr>
        <w:softHyphen/>
      </w:r>
      <w:r w:rsidRPr="00F21F92">
        <w:rPr>
          <w:lang w:val="sr-Latn-RS"/>
        </w:rPr>
        <w:t>menjene tehnologije izrade, kao i mehaničkih naprezanja kojima je izolacija izložena tokom polaganja i eksploa</w:t>
      </w:r>
      <w:r w:rsidR="00E11FB1">
        <w:rPr>
          <w:lang w:val="sr-Latn-RS"/>
        </w:rPr>
        <w:softHyphen/>
      </w:r>
      <w:r w:rsidRPr="00F21F92">
        <w:rPr>
          <w:lang w:val="sr-Latn-RS"/>
        </w:rPr>
        <w:t>tacije kabla.</w:t>
      </w:r>
      <w:r>
        <w:rPr>
          <w:lang w:val="sr-Latn-RS"/>
        </w:rPr>
        <w:t xml:space="preserve"> </w:t>
      </w:r>
      <w:r w:rsidR="009F068D">
        <w:rPr>
          <w:lang w:val="sr-Latn-RS"/>
        </w:rPr>
        <w:t>Zbog svega navedenog, cilj ovog rada jeste da se ispita uticaj</w:t>
      </w:r>
      <w:r w:rsidR="00551FBA" w:rsidRPr="00003F56">
        <w:rPr>
          <w:lang w:val="sr-Latn-RS"/>
        </w:rPr>
        <w:t xml:space="preserve"> nepravilnosti u strukturi čvrstog die</w:t>
      </w:r>
      <w:r w:rsidR="00E11FB1">
        <w:rPr>
          <w:lang w:val="sr-Latn-RS"/>
        </w:rPr>
        <w:softHyphen/>
      </w:r>
      <w:r w:rsidR="00551FBA" w:rsidRPr="00003F56">
        <w:rPr>
          <w:lang w:val="sr-Latn-RS"/>
        </w:rPr>
        <w:t>lektika, u vidu šupljina, nečistoća, kao i pojave elek</w:t>
      </w:r>
      <w:r w:rsidR="00E11FB1">
        <w:rPr>
          <w:lang w:val="sr-Latn-RS"/>
        </w:rPr>
        <w:softHyphen/>
      </w:r>
      <w:r w:rsidR="00551FBA" w:rsidRPr="00003F56">
        <w:rPr>
          <w:lang w:val="sr-Latn-RS"/>
        </w:rPr>
        <w:t xml:space="preserve">tričnog i vodenog grananja, na raspodelu električnog polja i </w:t>
      </w:r>
      <w:r w:rsidR="002746BD">
        <w:rPr>
          <w:lang w:val="sr-Latn-RS"/>
        </w:rPr>
        <w:t xml:space="preserve">električnog skalar </w:t>
      </w:r>
      <w:r w:rsidR="00551FBA" w:rsidRPr="00003F56">
        <w:rPr>
          <w:lang w:val="sr-Latn-RS"/>
        </w:rPr>
        <w:t>potencijala unutar kablovskog voda</w:t>
      </w:r>
      <w:r w:rsidR="009F068D">
        <w:rPr>
          <w:lang w:val="sr-Latn-RS"/>
        </w:rPr>
        <w:t xml:space="preserve">. </w:t>
      </w:r>
    </w:p>
    <w:p w14:paraId="5F27C076" w14:textId="2E766A18" w:rsidR="00B065A0" w:rsidRPr="00B065A0" w:rsidRDefault="009F068D" w:rsidP="001870A2">
      <w:pPr>
        <w:spacing w:before="60" w:after="120"/>
        <w:rPr>
          <w:lang w:val="sr-Latn-RS"/>
        </w:rPr>
      </w:pPr>
      <w:r w:rsidRPr="009F068D">
        <w:rPr>
          <w:lang w:val="sr-Latn-RS"/>
        </w:rPr>
        <w:t>Svi proračuni u ovom radu su izvršeni pomoću COMSOL Multiphysics softverskog paketa koji se bazira na metodi konačnih elemenata. Ova metoda omogućava približno rešavanje parcijalnih diferencijalnih jednačina na osnovu zadatih početnih i graničnih uslova, a kao takva se pokazala pogodnom za proučavanje složenih elektromagnetskih pojava koje su opisane Maksvelovim jednač</w:t>
      </w:r>
      <w:r w:rsidR="00F30321">
        <w:rPr>
          <w:lang w:val="sr-Latn-RS"/>
        </w:rPr>
        <w:t>inama u diferencijalnom obliku.</w:t>
      </w:r>
    </w:p>
    <w:p w14:paraId="043FED13" w14:textId="4F3978D6" w:rsidR="00E32CBD" w:rsidRPr="00526A09" w:rsidRDefault="00E32CBD" w:rsidP="00BA6CA7">
      <w:pPr>
        <w:spacing w:before="60"/>
        <w:jc w:val="left"/>
        <w:rPr>
          <w:rFonts w:ascii="Times New Roman" w:eastAsia="Times New Roman" w:hAnsi="Times New Roman" w:cs="Times New Roman"/>
          <w:iCs/>
          <w:szCs w:val="20"/>
          <w:lang w:val="sr-Latn-RS"/>
        </w:rPr>
      </w:pPr>
      <w:r w:rsidRPr="00E32CBD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2. </w:t>
      </w:r>
      <w:r w:rsidR="00B065A0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TEORIJSKA OSNOVA</w:t>
      </w:r>
    </w:p>
    <w:p w14:paraId="1E474A8B" w14:textId="2B5EC0B8" w:rsidR="00B065A0" w:rsidRDefault="00B065A0" w:rsidP="00B527EB">
      <w:pPr>
        <w:spacing w:before="60" w:after="120"/>
        <w:rPr>
          <w:lang w:val="sr-Latn-RS"/>
        </w:rPr>
      </w:pPr>
      <w:r w:rsidRPr="00F21F92">
        <w:rPr>
          <w:lang w:val="sr-Latn-RS"/>
        </w:rPr>
        <w:t xml:space="preserve">Elektomagnetska polja koja stvaraju kablovski vodovi su mrežne učestanosti (na ovim prostorima ona iznosi 50 Hz) i svrstavaju se u vremenski sporopromenljiva polja. Na osnovu toga, analize magnetskih i električnih efekata </w:t>
      </w:r>
      <w:r w:rsidRPr="00F21F92">
        <w:rPr>
          <w:lang w:val="sr-Latn-RS"/>
        </w:rPr>
        <w:lastRenderedPageBreak/>
        <w:t xml:space="preserve">jednog te istog elektromagnetskog polja mogu se sprovesti zasebno, nezavisnim posmatranjem vremenski sporopromenljivog magnetskog polja i vremenski sporopromenljivog elekričnog polja </w:t>
      </w:r>
      <w:r w:rsidR="00203C31">
        <w:rPr>
          <w:lang w:val="sr-Latn-RS"/>
        </w:rPr>
        <w:t>[2].</w:t>
      </w:r>
    </w:p>
    <w:p w14:paraId="3350AD50" w14:textId="0840A6BE" w:rsidR="00DC5175" w:rsidRDefault="00B065A0" w:rsidP="00B065A0">
      <w:pPr>
        <w:spacing w:before="6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 w:rsidRPr="00B065A0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2.1 Osnove proračuna</w:t>
      </w:r>
    </w:p>
    <w:p w14:paraId="12741E53" w14:textId="7C7CABF9" w:rsidR="00F94D76" w:rsidRDefault="00F94D76" w:rsidP="00F94D76">
      <w:pPr>
        <w:spacing w:before="60"/>
        <w:rPr>
          <w:lang w:val="sr-Latn-RS"/>
        </w:rPr>
      </w:pPr>
      <w:r w:rsidRPr="00F21F92">
        <w:rPr>
          <w:lang w:val="sr-Latn-RS"/>
        </w:rPr>
        <w:t>Za opisivanje električnog polja koristi</w:t>
      </w:r>
      <w:r w:rsidR="0045394B">
        <w:rPr>
          <w:lang w:val="sr-Latn-RS"/>
        </w:rPr>
        <w:t xml:space="preserve"> se</w:t>
      </w:r>
      <w:r w:rsidRPr="00F21F92">
        <w:rPr>
          <w:lang w:val="sr-Latn-RS"/>
        </w:rPr>
        <w:t xml:space="preserve"> vektor jačine električnog polja </w:t>
      </w:r>
      <m:oMath>
        <m:acc>
          <m:accPr>
            <m:chr m:val="⃗"/>
            <m:ctrlPr>
              <w:rPr>
                <w:rFonts w:ascii="Cambria Math" w:hAnsi="Cambria Math" w:cstheme="majorHAnsi"/>
                <w:lang w:val="sr-Latn-RS"/>
              </w:rPr>
            </m:ctrlPr>
          </m:accPr>
          <m:e>
            <m:r>
              <w:rPr>
                <w:rFonts w:ascii="Cambria Math" w:hAnsi="Cambria Math" w:cstheme="majorHAnsi"/>
                <w:lang w:val="sr-Latn-RS"/>
              </w:rPr>
              <m:t>E</m:t>
            </m:r>
          </m:e>
        </m:acc>
        <m:r>
          <w:rPr>
            <w:rFonts w:ascii="Cambria Math" w:hAnsi="Cambria Math" w:cstheme="majorHAnsi"/>
            <w:lang w:val="sr-Latn-RS"/>
          </w:rPr>
          <m:t>,</m:t>
        </m:r>
      </m:oMath>
      <w:r w:rsidR="0045394B" w:rsidRPr="001870A2">
        <w:rPr>
          <w:rFonts w:cstheme="minorHAnsi"/>
          <w:lang w:val="sr-Latn-RS"/>
        </w:rPr>
        <w:t xml:space="preserve"> </w:t>
      </w:r>
      <w:r w:rsidR="0045394B">
        <w:rPr>
          <w:lang w:val="sr-Latn-RS"/>
        </w:rPr>
        <w:t xml:space="preserve">koji može da se odredi pomoću </w:t>
      </w:r>
      <w:r w:rsidR="003F60E6">
        <w:rPr>
          <w:lang w:val="sr-Latn-RS"/>
        </w:rPr>
        <w:t>e</w:t>
      </w:r>
      <w:r w:rsidR="003F60E6" w:rsidRPr="00F21F92">
        <w:rPr>
          <w:lang w:val="sr-Latn-RS"/>
        </w:rPr>
        <w:t>lektričn</w:t>
      </w:r>
      <w:r w:rsidR="003F60E6">
        <w:rPr>
          <w:lang w:val="sr-Latn-RS"/>
        </w:rPr>
        <w:t>og</w:t>
      </w:r>
      <w:r w:rsidR="003F60E6" w:rsidRPr="00F21F92">
        <w:rPr>
          <w:lang w:val="sr-Latn-RS"/>
        </w:rPr>
        <w:t xml:space="preserve"> skalar potencijal</w:t>
      </w:r>
      <w:r w:rsidR="003F60E6">
        <w:rPr>
          <w:lang w:val="sr-Latn-RS"/>
        </w:rPr>
        <w:t>a</w:t>
      </w:r>
      <m:oMath>
        <m:r>
          <m:rPr>
            <m:sty m:val="p"/>
          </m:rPr>
          <w:rPr>
            <w:rFonts w:ascii="Cambria Math" w:hAnsi="Cambria Math"/>
            <w:lang w:val="sr-Latn-RS"/>
          </w:rPr>
          <m:t xml:space="preserve"> </m:t>
        </m:r>
        <m:r>
          <w:rPr>
            <w:rFonts w:ascii="Cambria Math" w:hAnsi="Cambria Math"/>
            <w:lang w:val="sr-Latn-RS"/>
          </w:rPr>
          <m:t>V</m:t>
        </m:r>
      </m:oMath>
      <w:r w:rsidR="003F60E6">
        <w:rPr>
          <w:lang w:val="sr-Latn-RS"/>
        </w:rPr>
        <w:t xml:space="preserve"> i </w:t>
      </w:r>
      <w:r w:rsidR="0045394B">
        <w:rPr>
          <w:lang w:val="sr-Latn-RS"/>
        </w:rPr>
        <w:t>m</w:t>
      </w:r>
      <w:r w:rsidR="00D5316F" w:rsidRPr="00F21F92">
        <w:rPr>
          <w:lang w:val="sr-Latn-RS"/>
        </w:rPr>
        <w:t>agnetsk</w:t>
      </w:r>
      <w:r w:rsidR="0045394B">
        <w:rPr>
          <w:lang w:val="sr-Latn-RS"/>
        </w:rPr>
        <w:t>og</w:t>
      </w:r>
      <w:r w:rsidR="00D5316F" w:rsidRPr="00F21F92">
        <w:rPr>
          <w:lang w:val="sr-Latn-RS"/>
        </w:rPr>
        <w:t xml:space="preserve"> vektor potencijal </w:t>
      </w:r>
      <m:oMath>
        <m:acc>
          <m:accPr>
            <m:chr m:val="⃗"/>
            <m:ctrlPr>
              <w:rPr>
                <w:rFonts w:ascii="Cambria Math" w:hAnsi="Cambria Math"/>
                <w:lang w:val="sr-Latn-RS"/>
              </w:rPr>
            </m:ctrlPr>
          </m:accPr>
          <m:e>
            <m:r>
              <w:rPr>
                <w:rFonts w:ascii="Cambria Math" w:hAnsi="Cambria Math"/>
                <w:lang w:val="sr-Latn-RS"/>
              </w:rPr>
              <m:t>A</m:t>
            </m:r>
          </m:e>
        </m:acc>
      </m:oMath>
      <w:r w:rsidRPr="00F21F92">
        <w:rPr>
          <w:lang w:val="sr-Latn-RS"/>
        </w:rPr>
        <w:t>. Stoga, relacij</w:t>
      </w:r>
      <w:r w:rsidR="0045394B">
        <w:rPr>
          <w:lang w:val="sr-Latn-RS"/>
        </w:rPr>
        <w:t>a</w:t>
      </w:r>
      <w:r w:rsidRPr="00F21F92">
        <w:rPr>
          <w:lang w:val="sr-Latn-RS"/>
        </w:rPr>
        <w:t xml:space="preserve"> koj</w:t>
      </w:r>
      <w:r w:rsidR="0045394B">
        <w:rPr>
          <w:lang w:val="sr-Latn-RS"/>
        </w:rPr>
        <w:t>om</w:t>
      </w:r>
      <w:r w:rsidRPr="00F21F92">
        <w:rPr>
          <w:lang w:val="sr-Latn-RS"/>
        </w:rPr>
        <w:t xml:space="preserve"> se definiš</w:t>
      </w:r>
      <w:r w:rsidR="0045394B">
        <w:rPr>
          <w:lang w:val="sr-Latn-RS"/>
        </w:rPr>
        <w:t>e</w:t>
      </w:r>
      <w:r w:rsidRPr="00F21F92">
        <w:rPr>
          <w:lang w:val="sr-Latn-RS"/>
        </w:rPr>
        <w:t xml:space="preserve"> vektor jačine električnog polja glas</w:t>
      </w:r>
      <w:r w:rsidR="0045394B">
        <w:rPr>
          <w:lang w:val="sr-Latn-RS"/>
        </w:rPr>
        <w:t>i</w:t>
      </w:r>
      <w:r>
        <w:rPr>
          <w:lang w:val="sr-Latn-R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0"/>
      </w:tblGrid>
      <w:tr w:rsidR="002E45AF" w:rsidRPr="00F21F92" w14:paraId="30547D84" w14:textId="77777777" w:rsidTr="002E45AF">
        <w:tc>
          <w:tcPr>
            <w:tcW w:w="4390" w:type="dxa"/>
            <w:vAlign w:val="center"/>
          </w:tcPr>
          <w:p w14:paraId="23DB269C" w14:textId="4DC2825B" w:rsidR="002E45AF" w:rsidRPr="00F26252" w:rsidRDefault="00F312A2" w:rsidP="002E45AF">
            <w:pPr>
              <w:spacing w:before="60"/>
              <w:jc w:val="center"/>
              <w:rPr>
                <w:szCs w:val="20"/>
                <w:lang w:val="sr-Latn-RS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lang w:val="sr-Latn-R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lang w:val="sr-Latn-RS"/>
                      </w:rPr>
                      <m:t>E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RS"/>
                  </w:rPr>
                  <m:t>=-∇</m:t>
                </m:r>
                <m:r>
                  <w:rPr>
                    <w:rFonts w:ascii="Cambria Math" w:eastAsiaTheme="minorEastAsia" w:hAnsi="Cambria Math"/>
                    <w:lang w:val="sr-Latn-R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R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sr-Latn-R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sr-Latn-RS"/>
                      </w:rPr>
                      <m:t>∂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/>
                            <w:lang w:val="sr-Latn-R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lang w:val="sr-Latn-RS"/>
                          </w:rPr>
                          <m:t>A</m:t>
                        </m:r>
                      </m:e>
                    </m:acc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sr-Latn-RS"/>
                      </w:rPr>
                      <m:t>∂t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sr-Latn-RS"/>
                  </w:rPr>
                  <m:t xml:space="preserve"> .</m:t>
                </m:r>
              </m:oMath>
            </m:oMathPara>
          </w:p>
        </w:tc>
        <w:tc>
          <w:tcPr>
            <w:tcW w:w="277" w:type="dxa"/>
            <w:vAlign w:val="center"/>
          </w:tcPr>
          <w:p w14:paraId="3A42D0E4" w14:textId="1DBBE4E7" w:rsidR="002E45AF" w:rsidRPr="00F26252" w:rsidRDefault="00593CE1" w:rsidP="00593CE1">
            <w:pPr>
              <w:spacing w:before="60"/>
              <w:jc w:val="center"/>
              <w:rPr>
                <w:rFonts w:eastAsiaTheme="minorEastAsia"/>
                <w:szCs w:val="20"/>
                <w:lang w:val="sr-Latn-RS"/>
              </w:rPr>
            </w:pPr>
            <w:r>
              <w:rPr>
                <w:rFonts w:eastAsiaTheme="minorEastAsia"/>
                <w:szCs w:val="20"/>
                <w:lang w:val="sr-Latn-RS"/>
              </w:rPr>
              <w:t>(1)</w:t>
            </w:r>
          </w:p>
        </w:tc>
      </w:tr>
    </w:tbl>
    <w:p w14:paraId="0DB14CF6" w14:textId="3998A4CC" w:rsidR="00F94D76" w:rsidRDefault="00F94D76" w:rsidP="00B527EB">
      <w:pPr>
        <w:spacing w:before="60"/>
        <w:rPr>
          <w:lang w:val="sr-Latn-RS"/>
        </w:rPr>
      </w:pPr>
      <w:r w:rsidRPr="00F21F92">
        <w:rPr>
          <w:lang w:val="sr-Latn-RS"/>
        </w:rPr>
        <w:t>S obzirom da razmatrani kabl ne sadrži feromagnetske de</w:t>
      </w:r>
      <w:r w:rsidR="00E11FB1">
        <w:rPr>
          <w:lang w:val="sr-Latn-RS"/>
        </w:rPr>
        <w:softHyphen/>
      </w:r>
      <w:r w:rsidRPr="00F21F92">
        <w:rPr>
          <w:lang w:val="sr-Latn-RS"/>
        </w:rPr>
        <w:t xml:space="preserve">love, usled linearnosti sistema i prostoperiodične </w:t>
      </w:r>
      <w:r w:rsidR="00BB2869">
        <w:rPr>
          <w:lang w:val="sr-Latn-RS"/>
        </w:rPr>
        <w:t>pobude</w:t>
      </w:r>
      <w:r w:rsidR="00BB2869" w:rsidRPr="00F21F92">
        <w:rPr>
          <w:lang w:val="sr-Latn-RS"/>
        </w:rPr>
        <w:t xml:space="preserve"> </w:t>
      </w:r>
      <w:r w:rsidRPr="00F21F92">
        <w:rPr>
          <w:lang w:val="sr-Latn-RS"/>
        </w:rPr>
        <w:t>u provodniku kabla, analizu problema je moguće postaviti i izvršiti u kompleksnom domenu. U tom slučaju, kompleksni električni skalar potencijal</w:t>
      </w:r>
      <m:oMath>
        <m:r>
          <m:rPr>
            <m:sty m:val="p"/>
          </m:rPr>
          <w:rPr>
            <w:rFonts w:ascii="Cambria Math" w:hAnsi="Cambria Math"/>
            <w:lang w:val="sr-Latn-RS"/>
          </w:rPr>
          <m:t xml:space="preserve"> </m:t>
        </m:r>
        <m:bar>
          <m:barPr>
            <m:ctrlPr>
              <w:rPr>
                <w:rFonts w:ascii="Cambria Math" w:hAnsi="Cambria Math"/>
                <w:lang w:val="sr-Latn-RS"/>
              </w:rPr>
            </m:ctrlPr>
          </m:barPr>
          <m:e>
            <m:r>
              <w:rPr>
                <w:rFonts w:ascii="Cambria Math" w:hAnsi="Cambria Math"/>
                <w:lang w:val="sr-Latn-RS"/>
              </w:rPr>
              <m:t>V</m:t>
            </m:r>
          </m:e>
        </m:bar>
      </m:oMath>
      <w:r w:rsidRPr="00F21F92">
        <w:rPr>
          <w:lang w:val="sr-Latn-RS"/>
        </w:rPr>
        <w:t xml:space="preserve"> se može odrediti rešavanjem sledeće kompleksne </w:t>
      </w:r>
      <w:r w:rsidR="00EB64FD" w:rsidRPr="00F21F92">
        <w:rPr>
          <w:lang w:val="sr-Latn-RS"/>
        </w:rPr>
        <w:t>diferencijaln</w:t>
      </w:r>
      <w:r w:rsidR="00EB64FD">
        <w:rPr>
          <w:lang w:val="sr-Latn-RS"/>
        </w:rPr>
        <w:t>e</w:t>
      </w:r>
      <w:r w:rsidR="00EB64FD" w:rsidRPr="00F21F92">
        <w:rPr>
          <w:lang w:val="sr-Latn-RS"/>
        </w:rPr>
        <w:t xml:space="preserve"> jednačin</w:t>
      </w:r>
      <w:r w:rsidR="00EB64FD">
        <w:rPr>
          <w:lang w:val="sr-Latn-RS"/>
        </w:rPr>
        <w:t>e</w:t>
      </w:r>
      <w:r w:rsidRPr="00F21F92">
        <w:rPr>
          <w:lang w:val="sr-Latn-RS"/>
        </w:rPr>
        <w:t xml:space="preserve">, poznatije kao Poasonova </w:t>
      </w:r>
      <w:r w:rsidR="0005557B">
        <w:rPr>
          <w:lang w:val="sr-Latn-RS"/>
        </w:rPr>
        <w:t xml:space="preserve">diferencijalna </w:t>
      </w:r>
      <w:r w:rsidRPr="00F21F92">
        <w:rPr>
          <w:lang w:val="sr-Latn-RS"/>
        </w:rPr>
        <w:t>jednačina: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0"/>
      </w:tblGrid>
      <w:tr w:rsidR="00CB63EA" w14:paraId="25C74E8F" w14:textId="77777777" w:rsidTr="00ED4E5B">
        <w:tc>
          <w:tcPr>
            <w:tcW w:w="4390" w:type="dxa"/>
            <w:vAlign w:val="center"/>
          </w:tcPr>
          <w:p w14:paraId="02A05E0B" w14:textId="0429B0F4" w:rsidR="00CB63EA" w:rsidRPr="00CB63EA" w:rsidRDefault="00CB63EA" w:rsidP="00CB63EA">
            <w:pPr>
              <w:spacing w:before="60"/>
              <w:jc w:val="center"/>
              <w:rPr>
                <w:sz w:val="22"/>
                <w:lang w:val="sr-Latn-R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sr-Latn-RS"/>
                  </w:rPr>
                  <m:t>Δ</m:t>
                </m:r>
                <m:bar>
                  <m:barPr>
                    <m:ctrlPr>
                      <w:rPr>
                        <w:rFonts w:ascii="Cambria Math" w:hAnsi="Cambria Math"/>
                        <w:i/>
                        <w:lang w:val="sr-Latn-R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sr-Latn-RS"/>
                      </w:rPr>
                      <m:t>V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lang w:val="sr-Latn-R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sr-Latn-R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Cs w:val="20"/>
                        <w:lang w:val="sr-Latn-RS"/>
                      </w:rPr>
                    </m:ctrlPr>
                  </m:fPr>
                  <m:num>
                    <m:bar>
                      <m:barPr>
                        <m:ctrlPr>
                          <w:rPr>
                            <w:rFonts w:ascii="Cambria Math" w:hAnsi="Cambria Math"/>
                            <w:szCs w:val="20"/>
                            <w:lang w:val="sr-Latn-RS"/>
                          </w:rPr>
                        </m:ctrlPr>
                      </m:ba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  <w:lang w:val="sr-Latn-RS"/>
                          </w:rPr>
                          <m:t>ρ</m:t>
                        </m:r>
                      </m:e>
                    </m:ba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sr-Latn-RS"/>
                      </w:rPr>
                      <m:t>ε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sr-Latn-RS"/>
                  </w:rPr>
                  <m:t xml:space="preserve"> .</m:t>
                </m:r>
              </m:oMath>
            </m:oMathPara>
          </w:p>
        </w:tc>
        <w:tc>
          <w:tcPr>
            <w:tcW w:w="277" w:type="dxa"/>
            <w:vAlign w:val="center"/>
          </w:tcPr>
          <w:p w14:paraId="5D44719C" w14:textId="4D48E685" w:rsidR="00CB63EA" w:rsidRDefault="00593CE1" w:rsidP="00593CE1">
            <w:pPr>
              <w:spacing w:before="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(2)</w:t>
            </w:r>
          </w:p>
        </w:tc>
      </w:tr>
    </w:tbl>
    <w:p w14:paraId="59116A56" w14:textId="499A88D7" w:rsidR="00F94D76" w:rsidRDefault="00F94D76" w:rsidP="00F94D76">
      <w:pPr>
        <w:spacing w:before="60"/>
        <w:rPr>
          <w:lang w:val="sr-Latn-RS"/>
        </w:rPr>
      </w:pPr>
      <w:r w:rsidRPr="00F21F92">
        <w:rPr>
          <w:lang w:val="sr-Latn-RS"/>
        </w:rPr>
        <w:t xml:space="preserve">Kako se predmet analize ovog rada bazira na </w:t>
      </w:r>
      <w:r w:rsidR="001870A2">
        <w:rPr>
          <w:lang w:val="sr-Latn-RS"/>
        </w:rPr>
        <w:t>modelu koji uzima u obzir specifičnu provodnost sredine</w:t>
      </w:r>
      <w:r w:rsidRPr="00F21F92">
        <w:rPr>
          <w:lang w:val="sr-Latn-RS"/>
        </w:rPr>
        <w:t xml:space="preserve">, uz zanemarivanje zapreminskog naelektrisanja unutar </w:t>
      </w:r>
      <w:r w:rsidRPr="00811E10">
        <w:rPr>
          <w:lang w:val="sr-Latn-RS"/>
        </w:rPr>
        <w:t>izolacije</w:t>
      </w:r>
      <w:r w:rsidR="001870A2" w:rsidRPr="00811E10">
        <w:rPr>
          <w:lang w:val="sr-Latn-RS"/>
        </w:rPr>
        <w:t xml:space="preserve"> i efekata  povezanih sa indukovanim električnim poljem</w:t>
      </w:r>
      <w:r w:rsidRPr="00811E10">
        <w:rPr>
          <w:lang w:val="sr-Latn-RS"/>
        </w:rPr>
        <w:t>, kompleksni električni skalar potencijal se može odrediti na osnovu</w:t>
      </w:r>
      <w:r w:rsidRPr="00F21F92">
        <w:rPr>
          <w:lang w:val="sr-Latn-RS"/>
        </w:rPr>
        <w:t xml:space="preserve"> Laplasove </w:t>
      </w:r>
      <w:r w:rsidR="00A602A8">
        <w:rPr>
          <w:lang w:val="sr-Latn-RS"/>
        </w:rPr>
        <w:t xml:space="preserve">kompleksne </w:t>
      </w:r>
      <w:r w:rsidRPr="00F21F92">
        <w:rPr>
          <w:lang w:val="sr-Latn-RS"/>
        </w:rPr>
        <w:t>diferenci</w:t>
      </w:r>
      <w:r w:rsidR="00203C31">
        <w:rPr>
          <w:lang w:val="sr-Latn-RS"/>
        </w:rPr>
        <w:t>jalne jednačine</w:t>
      </w:r>
      <w:r w:rsidRPr="00E9703F">
        <w:rPr>
          <w:lang w:val="sr-Latn-RS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0"/>
      </w:tblGrid>
      <w:tr w:rsidR="00ED4E5B" w14:paraId="25CFEA44" w14:textId="77777777" w:rsidTr="00E23723">
        <w:trPr>
          <w:jc w:val="center"/>
        </w:trPr>
        <w:tc>
          <w:tcPr>
            <w:tcW w:w="4390" w:type="dxa"/>
          </w:tcPr>
          <w:p w14:paraId="00D74A2D" w14:textId="2D11E480" w:rsidR="00ED4E5B" w:rsidRPr="00ED4E5B" w:rsidRDefault="00ED4E5B" w:rsidP="00ED4E5B">
            <w:pPr>
              <w:spacing w:before="60"/>
              <w:jc w:val="center"/>
              <w:rPr>
                <w:szCs w:val="20"/>
                <w:lang w:val="sr-Latn-R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sr-Latn-RS"/>
                  </w:rPr>
                  <m:t>Δ</m:t>
                </m:r>
                <m:bar>
                  <m:barPr>
                    <m:ctrlPr>
                      <w:rPr>
                        <w:rFonts w:ascii="Cambria Math" w:hAnsi="Cambria Math"/>
                        <w:i/>
                        <w:lang w:val="sr-Latn-R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sr-Latn-RS"/>
                      </w:rPr>
                      <m:t>V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lang w:val="sr-Latn-R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0"/>
                    <w:lang w:val="sr-Latn-RS"/>
                  </w:rPr>
                  <m:t>0 .</m:t>
                </m:r>
              </m:oMath>
            </m:oMathPara>
          </w:p>
        </w:tc>
        <w:tc>
          <w:tcPr>
            <w:tcW w:w="277" w:type="dxa"/>
          </w:tcPr>
          <w:p w14:paraId="5E455B64" w14:textId="3BBC2691" w:rsidR="00ED4E5B" w:rsidRDefault="00593CE1" w:rsidP="00593CE1">
            <w:pPr>
              <w:spacing w:before="60"/>
              <w:rPr>
                <w:lang w:val="sr-Latn-RS"/>
              </w:rPr>
            </w:pPr>
            <w:r>
              <w:rPr>
                <w:lang w:val="sr-Latn-RS"/>
              </w:rPr>
              <w:t>(3)</w:t>
            </w:r>
          </w:p>
        </w:tc>
      </w:tr>
    </w:tbl>
    <w:p w14:paraId="737061BD" w14:textId="42856852" w:rsidR="00F94D76" w:rsidRDefault="00F94D76" w:rsidP="00F94D76">
      <w:pPr>
        <w:spacing w:before="60"/>
        <w:rPr>
          <w:lang w:val="sr-Latn-RS"/>
        </w:rPr>
      </w:pPr>
      <w:r w:rsidRPr="006760C9">
        <w:rPr>
          <w:lang w:val="sr-Latn-RS"/>
        </w:rPr>
        <w:t>Prvi sabirak u izrazu za ukupan vektor jačine električnog polja (</w:t>
      </w:r>
      <w:r w:rsidR="000A548F">
        <w:rPr>
          <w:lang w:val="sr-Latn-RS"/>
        </w:rPr>
        <w:t>1</w:t>
      </w:r>
      <w:r w:rsidRPr="006760C9">
        <w:rPr>
          <w:lang w:val="sr-Latn-RS"/>
        </w:rPr>
        <w:t xml:space="preserve">) predstavlja njegovu konzervativnu komponentu, koja </w:t>
      </w:r>
      <w:r w:rsidRPr="00F21F92">
        <w:rPr>
          <w:lang w:val="sr-Latn-RS"/>
        </w:rPr>
        <w:t>je</w:t>
      </w:r>
      <w:r w:rsidR="000A548F">
        <w:rPr>
          <w:lang w:val="sr-Latn-RS"/>
        </w:rPr>
        <w:t xml:space="preserve"> u kompleksnom domenu,</w:t>
      </w:r>
      <w:r w:rsidRPr="00F21F92">
        <w:rPr>
          <w:lang w:val="sr-Latn-RS"/>
        </w:rPr>
        <w:t xml:space="preserve"> za posmatrani slučaj radijalna: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0"/>
      </w:tblGrid>
      <w:tr w:rsidR="00E23723" w14:paraId="4F60C61C" w14:textId="77777777" w:rsidTr="00E23723">
        <w:tc>
          <w:tcPr>
            <w:tcW w:w="4390" w:type="dxa"/>
            <w:vAlign w:val="center"/>
          </w:tcPr>
          <w:p w14:paraId="4A942783" w14:textId="0D2A4B9E" w:rsidR="00E23723" w:rsidRPr="00E23723" w:rsidRDefault="00F312A2" w:rsidP="00E23723">
            <w:pPr>
              <w:spacing w:before="60"/>
              <w:jc w:val="center"/>
              <w:rPr>
                <w:color w:val="000000" w:themeColor="text1"/>
                <w:lang w:val="sr-Latn-R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lang w:val="sr-Latn-R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lang w:val="sr-Latn-RS"/>
                        </w:rPr>
                      </m:ctrlPr>
                    </m:acc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lang w:val="sr-Latn-R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lang w:val="sr-Latn-RS"/>
                            </w:rPr>
                            <m:t>E</m:t>
                          </m:r>
                        </m:e>
                      </m:ba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sr-Latn-RS"/>
                    </w:rPr>
                    <m:t>konz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sr-Latn-RS"/>
                </w:rPr>
                <m:t>=-∇</m:t>
              </m:r>
              <m:bar>
                <m:barPr>
                  <m:ctrlPr>
                    <w:rPr>
                      <w:rFonts w:ascii="Cambria Math" w:hAnsi="Cambria Math"/>
                      <w:lang w:val="sr-Latn-RS"/>
                    </w:rPr>
                  </m:ctrlPr>
                </m:barPr>
                <m:e>
                  <m:r>
                    <w:rPr>
                      <w:rFonts w:ascii="Cambria Math" w:hAnsi="Cambria Math"/>
                      <w:lang w:val="sr-Latn-RS"/>
                    </w:rPr>
                    <m:t>V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lang w:val="sr-Latn-R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lang w:val="sr-Latn-R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lang w:val="sr-Latn-R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sr-Latn-RS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sr-Latn-RS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lang w:val="sr-Latn-R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lang w:val="sr-Latn-R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sr-Latn-RS"/>
                        </w:rPr>
                        <m:t>i</m:t>
                      </m: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sr-Latn-RS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  <w:lang w:val="sr-Latn-RS"/>
                </w:rPr>
                <m:t xml:space="preserve"> </m:t>
              </m:r>
            </m:oMath>
            <w:r w:rsidR="00E23723" w:rsidRPr="00F26252">
              <w:rPr>
                <w:color w:val="000000" w:themeColor="text1"/>
                <w:lang w:val="sr-Latn-RS"/>
              </w:rPr>
              <w:t>.</w:t>
            </w:r>
          </w:p>
        </w:tc>
        <w:tc>
          <w:tcPr>
            <w:tcW w:w="277" w:type="dxa"/>
            <w:vAlign w:val="center"/>
          </w:tcPr>
          <w:p w14:paraId="30BCA05C" w14:textId="4F8C6F9D" w:rsidR="00E23723" w:rsidRDefault="00593CE1" w:rsidP="00593CE1">
            <w:pPr>
              <w:spacing w:before="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(4)</w:t>
            </w:r>
          </w:p>
        </w:tc>
      </w:tr>
    </w:tbl>
    <w:p w14:paraId="043BE561" w14:textId="08DB61E1" w:rsidR="00F94D76" w:rsidRDefault="00F94D76" w:rsidP="002746BD">
      <w:pPr>
        <w:spacing w:before="60" w:after="120"/>
        <w:rPr>
          <w:lang w:val="sr-Latn-RS"/>
        </w:rPr>
      </w:pPr>
      <w:r w:rsidRPr="006760C9">
        <w:rPr>
          <w:lang w:val="sr-Latn-RS"/>
        </w:rPr>
        <w:t xml:space="preserve">Drugi sabirak opisuje indukovanu komponentu, koja predstavlja vrtložno polje, a za posmatrani model kablovskog voda je u pravcu </w:t>
      </w:r>
      <w:r w:rsidRPr="00BC1B6C">
        <w:rPr>
          <w:i/>
          <w:lang w:val="sr-Latn-RS"/>
        </w:rPr>
        <w:t>z</w:t>
      </w:r>
      <w:r w:rsidRPr="006760C9">
        <w:rPr>
          <w:lang w:val="sr-Latn-RS"/>
        </w:rPr>
        <w:t xml:space="preserve"> koordinate: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0"/>
      </w:tblGrid>
      <w:tr w:rsidR="00B8489A" w14:paraId="7679E5F3" w14:textId="77777777" w:rsidTr="00B8489A">
        <w:tc>
          <w:tcPr>
            <w:tcW w:w="4390" w:type="dxa"/>
          </w:tcPr>
          <w:p w14:paraId="0D30E804" w14:textId="06670DDD" w:rsidR="00B8489A" w:rsidRPr="00B8489A" w:rsidRDefault="00F312A2" w:rsidP="00B8489A">
            <w:pPr>
              <w:jc w:val="center"/>
              <w:rPr>
                <w:color w:val="000000" w:themeColor="text1"/>
                <w:lang w:val="sr-Latn-R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lang w:val="sr-Latn-R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</m:ctrlPr>
                    </m:accPr>
                    <m:e>
                      <m:bar>
                        <m:barPr>
                          <m:ctrlPr>
                            <w:rPr>
                              <w:rFonts w:ascii="Cambria Math" w:hAnsi="Cambria Math"/>
                              <w:color w:val="000000" w:themeColor="text1"/>
                              <w:lang w:val="sr-Latn-R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lang w:val="sr-Latn-RS"/>
                            </w:rPr>
                            <m:t>E</m:t>
                          </m:r>
                        </m:e>
                      </m:bar>
                    </m:e>
                  </m:acc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sr-Latn-R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sr-Latn-RS"/>
                </w:rPr>
                <m:t>=-jω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lang w:val="sr-Latn-RS"/>
                    </w:rPr>
                  </m:ctrlPr>
                </m:accPr>
                <m:e>
                  <m:bar>
                    <m:bar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sr-Latn-R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  <m:t>A</m:t>
                      </m:r>
                    </m:e>
                  </m:ba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sr-Latn-R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lang w:val="sr-Latn-R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  <m:t>E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sr-Latn-RS"/>
                    </w:rPr>
                    <m:t>iz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sr-Latn-R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sr-Latn-R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sr-Latn-RS"/>
                    </w:rPr>
                    <m:t>z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lang w:val="sr-Latn-RS"/>
                </w:rPr>
                <m:t>=-jω</m:t>
              </m:r>
              <m:sSub>
                <m:sSubPr>
                  <m:ctrlPr>
                    <w:rPr>
                      <w:rFonts w:ascii="Cambria Math" w:hAnsi="Cambria Math"/>
                      <w:color w:val="000000" w:themeColor="text1"/>
                      <w:lang w:val="sr-Latn-RS"/>
                    </w:rPr>
                  </m:ctrlPr>
                </m:sSubPr>
                <m:e>
                  <m:bar>
                    <m:barPr>
                      <m:ctrlP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  <m:t>A</m:t>
                      </m:r>
                    </m:e>
                  </m:ba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lang w:val="sr-Latn-RS"/>
                    </w:rPr>
                    <m:t>z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lang w:val="sr-Latn-R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sr-Latn-R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sr-Latn-RS"/>
                        </w:rPr>
                        <m:t>i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sr-Latn-RS"/>
                    </w:rPr>
                    <m:t>z</m:t>
                  </m:r>
                </m:sub>
              </m:sSub>
            </m:oMath>
            <w:r w:rsidR="00B8489A" w:rsidRPr="00F26252">
              <w:rPr>
                <w:color w:val="000000" w:themeColor="text1"/>
                <w:lang w:val="sr-Latn-RS"/>
              </w:rPr>
              <w:t>.</w:t>
            </w:r>
          </w:p>
        </w:tc>
        <w:tc>
          <w:tcPr>
            <w:tcW w:w="277" w:type="dxa"/>
          </w:tcPr>
          <w:p w14:paraId="2841918F" w14:textId="60F0A131" w:rsidR="00B8489A" w:rsidRDefault="00593CE1" w:rsidP="00593CE1">
            <w:pPr>
              <w:spacing w:before="60"/>
              <w:rPr>
                <w:lang w:val="sr-Latn-RS"/>
              </w:rPr>
            </w:pPr>
            <w:r>
              <w:rPr>
                <w:lang w:val="sr-Latn-RS"/>
              </w:rPr>
              <w:t>(5)</w:t>
            </w:r>
          </w:p>
        </w:tc>
      </w:tr>
    </w:tbl>
    <w:p w14:paraId="6CFBC7F9" w14:textId="00C73ABB" w:rsidR="00B527EB" w:rsidRPr="00932B56" w:rsidRDefault="00F94D76" w:rsidP="002746BD">
      <w:pPr>
        <w:spacing w:before="120" w:after="120"/>
        <w:rPr>
          <w:lang w:val="sr-Latn-RS"/>
        </w:rPr>
      </w:pPr>
      <w:r w:rsidRPr="00F21F92">
        <w:rPr>
          <w:lang w:val="sr-Latn-RS"/>
        </w:rPr>
        <w:t xml:space="preserve">Unutar provodnih slojeva </w:t>
      </w:r>
      <w:r w:rsidR="00593CE1">
        <w:rPr>
          <w:lang w:val="sr-Latn-RS"/>
        </w:rPr>
        <w:t>kablovskog vod</w:t>
      </w:r>
      <w:r w:rsidRPr="00F21F92">
        <w:rPr>
          <w:lang w:val="sr-Latn-RS"/>
        </w:rPr>
        <w:t>a dominantna je indukovana komponenta vektora jačine električnog polja, koja izaziva pojavu vrtložnih struja, kao i manje ili više izražen površinski efekat. Sa druge strane, indukovanu komponentu vektora jačine električnog polja je moguće zanemariti izvan provodnih delova kabla, pri čemu se u razmatranje uzima samo radijalna</w:t>
      </w:r>
      <w:r w:rsidR="00BB2869">
        <w:rPr>
          <w:lang w:val="sr-Latn-RS"/>
        </w:rPr>
        <w:t>,</w:t>
      </w:r>
      <w:r w:rsidRPr="00F21F92">
        <w:rPr>
          <w:lang w:val="sr-Latn-RS"/>
        </w:rPr>
        <w:t xml:space="preserve"> konzervativna komponenta vektora jačine električnog polja.</w:t>
      </w:r>
    </w:p>
    <w:p w14:paraId="0BBF10EE" w14:textId="78B4833F" w:rsidR="00F94D76" w:rsidRDefault="0036140B" w:rsidP="00F94D76">
      <w:pPr>
        <w:spacing w:before="6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3</w:t>
      </w:r>
      <w:r w:rsidR="00F94D76" w:rsidRPr="00E32CBD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. </w:t>
      </w:r>
      <w:r w:rsidR="00F94D76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MODEL</w:t>
      </w:r>
    </w:p>
    <w:p w14:paraId="4E012018" w14:textId="4D8B4145" w:rsidR="00F94D76" w:rsidRDefault="00F94D76" w:rsidP="00F94D76">
      <w:pPr>
        <w:spacing w:before="60"/>
        <w:rPr>
          <w:lang w:val="sr-Latn-RS"/>
        </w:rPr>
      </w:pPr>
      <w:r w:rsidRPr="00F21F92">
        <w:rPr>
          <w:lang w:val="sr-Latn-RS"/>
        </w:rPr>
        <w:t xml:space="preserve">Za potrebe analize raspodele električnog polja i potencijala u ovom radu je korišćen model jednožilnog kablovskog voda 64/110 kV tip </w:t>
      </w:r>
      <w:r w:rsidRPr="00426578">
        <w:rPr>
          <w:lang w:val="sr-Latn-RS"/>
        </w:rPr>
        <w:t>A2XS(FL)2Y</w:t>
      </w:r>
      <w:r w:rsidR="00E9703F">
        <w:rPr>
          <w:lang w:val="sr-Latn-RS"/>
        </w:rPr>
        <w:t xml:space="preserve">, </w:t>
      </w:r>
      <w:r w:rsidR="000A548F">
        <w:rPr>
          <w:lang w:val="sr-Latn-RS"/>
        </w:rPr>
        <w:t>čija je stara oznaka</w:t>
      </w:r>
      <w:r>
        <w:rPr>
          <w:lang w:val="sr-Latn-RS"/>
        </w:rPr>
        <w:t xml:space="preserve"> </w:t>
      </w:r>
      <w:r w:rsidRPr="00F21F92">
        <w:rPr>
          <w:lang w:val="sr-Latn-RS"/>
        </w:rPr>
        <w:t>XHE 49</w:t>
      </w:r>
      <w:r>
        <w:rPr>
          <w:lang w:val="sr-Latn-RS"/>
        </w:rPr>
        <w:t>-</w:t>
      </w:r>
      <w:r w:rsidRPr="00F21F92">
        <w:rPr>
          <w:lang w:val="sr-Latn-RS"/>
        </w:rPr>
        <w:t>A</w:t>
      </w:r>
      <w:r w:rsidR="00E9703F">
        <w:rPr>
          <w:lang w:val="sr-Latn-RS"/>
        </w:rPr>
        <w:t>,</w:t>
      </w:r>
      <w:r>
        <w:rPr>
          <w:lang w:val="sr-Latn-RS"/>
        </w:rPr>
        <w:t xml:space="preserve"> sa provodnikom </w:t>
      </w:r>
      <w:r w:rsidR="000A548F">
        <w:rPr>
          <w:lang w:val="sr-Latn-RS"/>
        </w:rPr>
        <w:t xml:space="preserve">načinjenog </w:t>
      </w:r>
      <w:r>
        <w:rPr>
          <w:lang w:val="sr-Latn-RS"/>
        </w:rPr>
        <w:t xml:space="preserve">od aluminijuma </w:t>
      </w:r>
      <w:r w:rsidR="00BB2869">
        <w:rPr>
          <w:lang w:val="sr-Latn-RS"/>
        </w:rPr>
        <w:t xml:space="preserve">poprečnog </w:t>
      </w:r>
      <w:r w:rsidR="00E9703F">
        <w:rPr>
          <w:lang w:val="sr-Latn-RS"/>
        </w:rPr>
        <w:t xml:space="preserve">preseka </w:t>
      </w:r>
      <w:r>
        <w:rPr>
          <w:lang w:val="sr-Latn-RS"/>
        </w:rPr>
        <w:t>1000</w:t>
      </w:r>
      <w:r w:rsidR="00E9703F">
        <w:rPr>
          <w:lang w:val="sr-Latn-RS"/>
        </w:rPr>
        <w:t xml:space="preserve"> </w:t>
      </w:r>
      <w:r>
        <w:rPr>
          <w:lang w:val="sr-Latn-RS"/>
        </w:rPr>
        <w:t>mm</w:t>
      </w:r>
      <w:r w:rsidRPr="001870A2">
        <w:rPr>
          <w:vertAlign w:val="superscript"/>
          <w:lang w:val="sr-Latn-RS"/>
        </w:rPr>
        <w:t>2</w:t>
      </w:r>
      <w:r>
        <w:rPr>
          <w:lang w:val="sr-Latn-RS"/>
        </w:rPr>
        <w:t xml:space="preserve"> i električnom zaštitom od bakra </w:t>
      </w:r>
      <w:r w:rsidR="00BB2869">
        <w:rPr>
          <w:lang w:val="sr-Latn-RS"/>
        </w:rPr>
        <w:t xml:space="preserve">poprečnog </w:t>
      </w:r>
      <w:r>
        <w:rPr>
          <w:lang w:val="sr-Latn-RS"/>
        </w:rPr>
        <w:t xml:space="preserve">preseka 95 </w:t>
      </w:r>
      <w:r w:rsidRPr="00CC606E">
        <w:rPr>
          <w:lang w:val="sr-Latn-RS"/>
        </w:rPr>
        <w:t>mm</w:t>
      </w:r>
      <w:r w:rsidRPr="00CC606E">
        <w:rPr>
          <w:vertAlign w:val="superscript"/>
          <w:lang w:val="sr-Latn-RS"/>
        </w:rPr>
        <w:t>2</w:t>
      </w:r>
      <w:r w:rsidRPr="00CC606E">
        <w:rPr>
          <w:lang w:val="sr-Latn-RS"/>
        </w:rPr>
        <w:t>,</w:t>
      </w:r>
      <w:r w:rsidRPr="00F21F92">
        <w:rPr>
          <w:lang w:val="sr-Latn-RS"/>
        </w:rPr>
        <w:t xml:space="preserve"> koji se po pravilu koristi u prenosnoj mreži Srbije nazivnog napona ≥</w:t>
      </w:r>
      <w:r w:rsidR="00932B56">
        <w:rPr>
          <w:lang w:val="sr-Latn-RS"/>
        </w:rPr>
        <w:t> </w:t>
      </w:r>
      <w:r w:rsidRPr="00F21F92">
        <w:rPr>
          <w:lang w:val="sr-Latn-RS"/>
        </w:rPr>
        <w:t>110 kV</w:t>
      </w:r>
      <w:r>
        <w:rPr>
          <w:lang w:val="sr-Latn-RS"/>
        </w:rPr>
        <w:t xml:space="preserve"> </w:t>
      </w:r>
      <w:r w:rsidR="00010D09">
        <w:rPr>
          <w:lang w:val="sr-Latn-RS"/>
        </w:rPr>
        <w:t xml:space="preserve">(slika 1) </w:t>
      </w:r>
      <w:r w:rsidR="00203C31">
        <w:rPr>
          <w:lang w:val="sr-Latn-RS"/>
        </w:rPr>
        <w:t>[3].</w:t>
      </w:r>
    </w:p>
    <w:p w14:paraId="20B97016" w14:textId="711B2649" w:rsidR="00667B79" w:rsidRPr="00932B56" w:rsidRDefault="00667B79" w:rsidP="00F94D76">
      <w:pPr>
        <w:spacing w:before="60"/>
        <w:rPr>
          <w:lang w:val="sr-Latn-RS"/>
        </w:rPr>
      </w:pPr>
      <w:r w:rsidRPr="00377485">
        <w:rPr>
          <w:lang w:val="sr-Latn-RS"/>
        </w:rPr>
        <w:t>Poprečni presek</w:t>
      </w:r>
      <w:r w:rsidR="00CC4764">
        <w:rPr>
          <w:lang w:val="sr-Latn-RS"/>
        </w:rPr>
        <w:t xml:space="preserve"> modelovanog kablovskog voda sa vodenim grananjem na ekranu izolacije, prikazan je na </w:t>
      </w:r>
      <w:r w:rsidR="00CC4764">
        <w:rPr>
          <w:lang w:val="sr-Latn-RS"/>
        </w:rPr>
        <w:lastRenderedPageBreak/>
        <w:t>slici</w:t>
      </w:r>
      <w:r w:rsidR="00E11FB1">
        <w:rPr>
          <w:lang w:val="sr-Latn-RS"/>
        </w:rPr>
        <w:t xml:space="preserve"> </w:t>
      </w:r>
      <w:r>
        <w:rPr>
          <w:lang w:val="sr-Latn-RS"/>
        </w:rPr>
        <w:t>2</w:t>
      </w:r>
      <w:r w:rsidRPr="00377485">
        <w:rPr>
          <w:lang w:val="sr-Latn-RS"/>
        </w:rPr>
        <w:t>, dok su njegove</w:t>
      </w:r>
      <w:r w:rsidR="00CC4764">
        <w:rPr>
          <w:lang w:val="sr-Latn-RS"/>
        </w:rPr>
        <w:t xml:space="preserve"> osnovne</w:t>
      </w:r>
      <w:r w:rsidRPr="00377485">
        <w:rPr>
          <w:lang w:val="sr-Latn-RS"/>
        </w:rPr>
        <w:t xml:space="preserve"> konstruktivne i elektromagnteske karakteristike </w:t>
      </w:r>
      <w:r w:rsidR="00E85721">
        <w:rPr>
          <w:lang w:val="sr-Latn-RS"/>
        </w:rPr>
        <w:t xml:space="preserve">date </w:t>
      </w:r>
      <w:r>
        <w:rPr>
          <w:lang w:val="sr-Latn-RS"/>
        </w:rPr>
        <w:t>u tabeli 1</w:t>
      </w:r>
      <w:r w:rsidRPr="00377485">
        <w:rPr>
          <w:lang w:val="sr-Latn-RS"/>
        </w:rPr>
        <w:t>.</w:t>
      </w:r>
    </w:p>
    <w:p w14:paraId="4AFA9B49" w14:textId="77777777" w:rsidR="00CC606E" w:rsidRDefault="00F94D76" w:rsidP="00CC606E">
      <w:pPr>
        <w:keepNext/>
        <w:spacing w:before="60"/>
      </w:pPr>
      <w:r>
        <w:rPr>
          <w:noProof/>
          <w:lang w:val="sr-Latn-RS" w:eastAsia="sr-Latn-RS"/>
        </w:rPr>
        <w:drawing>
          <wp:inline distT="0" distB="0" distL="0" distR="0" wp14:anchorId="2C0DD3B5" wp14:editId="2A925557">
            <wp:extent cx="2971800" cy="1203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ak ekrana 2022-09-17 174400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7" t="1952" r="8274"/>
                    <a:stretch/>
                  </pic:blipFill>
                  <pic:spPr bwMode="auto">
                    <a:xfrm>
                      <a:off x="0" y="0"/>
                      <a:ext cx="3009514" cy="1219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9822D" w14:textId="77777777" w:rsidR="000A548F" w:rsidRDefault="000A548F" w:rsidP="000A548F">
      <w:pPr>
        <w:spacing w:before="120"/>
        <w:jc w:val="center"/>
        <w:rPr>
          <w:lang w:val="sr-Latn-RS"/>
        </w:rPr>
      </w:pPr>
      <w:r w:rsidRPr="000749FA">
        <w:rPr>
          <w:rFonts w:ascii="Times New Roman" w:eastAsia="Times New Roman" w:hAnsi="Times New Roman" w:cs="Times New Roman"/>
          <w:iCs/>
          <w:szCs w:val="20"/>
          <w:lang w:val="sr-Latn-CS"/>
        </w:rPr>
        <w:t xml:space="preserve">Slika </w:t>
      </w:r>
      <w:r>
        <w:rPr>
          <w:rFonts w:ascii="Times New Roman" w:eastAsia="Times New Roman" w:hAnsi="Times New Roman" w:cs="Times New Roman"/>
          <w:iCs/>
          <w:szCs w:val="20"/>
          <w:lang w:val="sr-Latn-CS"/>
        </w:rPr>
        <w:t>1</w:t>
      </w:r>
      <w:r w:rsidRPr="000749FA">
        <w:rPr>
          <w:rFonts w:ascii="Times New Roman" w:eastAsia="Times New Roman" w:hAnsi="Times New Roman" w:cs="Times New Roman"/>
          <w:iCs/>
          <w:szCs w:val="20"/>
          <w:lang w:val="sr-Latn-CS"/>
        </w:rPr>
        <w:t xml:space="preserve">. </w:t>
      </w:r>
      <w:r w:rsidRPr="00F26252">
        <w:rPr>
          <w:i/>
          <w:lang w:val="sr-Latn-RS"/>
        </w:rPr>
        <w:t xml:space="preserve">Skica konstrukcije jednožilnog kabla 64/110 kV tip </w:t>
      </w:r>
      <w:r w:rsidRPr="00426578">
        <w:rPr>
          <w:lang w:val="sr-Latn-RS"/>
        </w:rPr>
        <w:t>A2XS(FL)2Y</w:t>
      </w:r>
    </w:p>
    <w:p w14:paraId="23CCCDF0" w14:textId="6B9A0D9F" w:rsidR="00CC606E" w:rsidRDefault="00377485" w:rsidP="000A548F">
      <w:pPr>
        <w:spacing w:before="120"/>
        <w:jc w:val="center"/>
      </w:pPr>
      <w:r>
        <w:rPr>
          <w:noProof/>
          <w:lang w:val="sr-Latn-RS" w:eastAsia="sr-Latn-RS"/>
        </w:rPr>
        <w:drawing>
          <wp:inline distT="0" distB="0" distL="0" distR="0" wp14:anchorId="247DF9CF" wp14:editId="1CEC7B69">
            <wp:extent cx="2570062" cy="1927547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prečni prese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062" cy="192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69916" w14:textId="772036C3" w:rsidR="00B527EB" w:rsidRPr="00CC606E" w:rsidRDefault="00CC606E" w:rsidP="00CC606E">
      <w:pPr>
        <w:pStyle w:val="Caption"/>
        <w:spacing w:after="120"/>
        <w:jc w:val="center"/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1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>
        <w:t xml:space="preserve"> </w:t>
      </w:r>
      <w:r w:rsidRPr="00F26252">
        <w:rPr>
          <w:i/>
          <w:caps w:val="0"/>
          <w:spacing w:val="0"/>
          <w:szCs w:val="22"/>
          <w:lang w:val="sr-Latn-RS"/>
        </w:rPr>
        <w:t>Poprečni presek modelovanog kablovskog voda u COMSOL-u</w:t>
      </w:r>
    </w:p>
    <w:p w14:paraId="3956524C" w14:textId="312B4E58" w:rsidR="00BD6A8D" w:rsidRPr="00E85721" w:rsidRDefault="00E85721" w:rsidP="00E85721">
      <w:pPr>
        <w:spacing w:after="120"/>
        <w:jc w:val="left"/>
        <w:rPr>
          <w:i/>
          <w:lang w:val="sr-Latn-RS"/>
        </w:rPr>
      </w:pPr>
      <w:r>
        <w:rPr>
          <w:rFonts w:ascii="Times New Roman" w:eastAsia="Times New Roman" w:hAnsi="Times New Roman" w:cs="Times New Roman"/>
          <w:iCs/>
          <w:szCs w:val="20"/>
          <w:lang w:val="sr-Latn-CS"/>
        </w:rPr>
        <w:t xml:space="preserve">Tabela 1. </w:t>
      </w:r>
      <w:r w:rsidRPr="00E85721">
        <w:rPr>
          <w:i/>
          <w:lang w:val="sr-Latn-RS"/>
        </w:rPr>
        <w:t>Konstruktivne</w:t>
      </w:r>
      <w:r w:rsidR="00377485" w:rsidRPr="00E85721">
        <w:rPr>
          <w:i/>
        </w:rPr>
        <w:t xml:space="preserve"> </w:t>
      </w:r>
      <w:r w:rsidR="00377485" w:rsidRPr="00E85721">
        <w:rPr>
          <w:i/>
          <w:lang w:val="sr-Latn-RS"/>
        </w:rPr>
        <w:t>i elektromagnetske karakteristike modelovanog kabla</w:t>
      </w:r>
      <w:r w:rsidR="001F2E15">
        <w:rPr>
          <w:i/>
          <w:lang w:val="sr-Latn-RS"/>
        </w:rPr>
        <w:t xml:space="preserve"> (bez pukotina)</w:t>
      </w:r>
    </w:p>
    <w:tbl>
      <w:tblPr>
        <w:tblStyle w:val="TableGrid"/>
        <w:tblW w:w="4673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276"/>
        <w:gridCol w:w="708"/>
        <w:gridCol w:w="426"/>
        <w:gridCol w:w="850"/>
      </w:tblGrid>
      <w:tr w:rsidR="005772EF" w:rsidRPr="004F0606" w14:paraId="29339962" w14:textId="3091200C" w:rsidTr="008D12CD">
        <w:tc>
          <w:tcPr>
            <w:tcW w:w="421" w:type="dxa"/>
            <w:vAlign w:val="center"/>
          </w:tcPr>
          <w:p w14:paraId="13F1EB28" w14:textId="22202E6C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Br.</w:t>
            </w:r>
          </w:p>
        </w:tc>
        <w:tc>
          <w:tcPr>
            <w:tcW w:w="992" w:type="dxa"/>
            <w:vAlign w:val="center"/>
          </w:tcPr>
          <w:p w14:paraId="42D70A1D" w14:textId="47A1ADC4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Konstruktivni elementi</w:t>
            </w:r>
          </w:p>
        </w:tc>
        <w:tc>
          <w:tcPr>
            <w:tcW w:w="1276" w:type="dxa"/>
            <w:vAlign w:val="center"/>
          </w:tcPr>
          <w:p w14:paraId="4EABD74C" w14:textId="20940B73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Materijal</w:t>
            </w:r>
          </w:p>
        </w:tc>
        <w:tc>
          <w:tcPr>
            <w:tcW w:w="708" w:type="dxa"/>
            <w:vAlign w:val="center"/>
          </w:tcPr>
          <w:p w14:paraId="67F334C1" w14:textId="02484D39" w:rsidR="00010D09" w:rsidRDefault="006C0E8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Prečnik</w:t>
            </w:r>
          </w:p>
          <w:p w14:paraId="316F5381" w14:textId="783BC6DF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 xml:space="preserve"> [mm]</w:t>
            </w:r>
          </w:p>
        </w:tc>
        <w:tc>
          <w:tcPr>
            <w:tcW w:w="426" w:type="dxa"/>
            <w:vAlign w:val="center"/>
          </w:tcPr>
          <w:p w14:paraId="16E34DFD" w14:textId="7892ED96" w:rsidR="00935BF9" w:rsidRPr="004F0606" w:rsidRDefault="00F312A2" w:rsidP="004F0606">
            <w:pPr>
              <w:jc w:val="center"/>
              <w:rPr>
                <w:sz w:val="16"/>
                <w:lang w:val="sr-Latn-R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color w:val="000000" w:themeColor="text1"/>
                        <w:sz w:val="16"/>
                        <w:lang w:val="sr-Latn-R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16"/>
                        <w:lang w:val="sr-Latn-RS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16"/>
                        <w:lang w:val="sr-Latn-RS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850" w:type="dxa"/>
            <w:vAlign w:val="center"/>
          </w:tcPr>
          <w:p w14:paraId="3E7723D7" w14:textId="77777777" w:rsidR="00010D09" w:rsidRDefault="00935BF9" w:rsidP="00935BF9">
            <w:pPr>
              <w:jc w:val="center"/>
              <w:rPr>
                <w:rFonts w:ascii="Cambria Math" w:eastAsiaTheme="minorEastAsia" w:hAnsi="Cambria Math"/>
                <w:color w:val="000000" w:themeColor="text1"/>
                <w:sz w:val="16"/>
                <w:lang w:val="sr-Latn-RS"/>
              </w:rPr>
            </w:pPr>
            <w:r w:rsidRPr="00935BF9">
              <w:rPr>
                <w:rFonts w:ascii="Cambria Math" w:eastAsiaTheme="minorEastAsia" w:hAnsi="Cambria Math"/>
                <w:color w:val="000000" w:themeColor="text1"/>
                <w:sz w:val="16"/>
                <w:lang w:val="sr-Latn-RS"/>
              </w:rPr>
              <w:t>σ</w:t>
            </w:r>
          </w:p>
          <w:p w14:paraId="4A87429A" w14:textId="6FE692C2" w:rsidR="00935BF9" w:rsidRDefault="00935BF9" w:rsidP="00935BF9">
            <w:pPr>
              <w:jc w:val="center"/>
              <w:rPr>
                <w:rFonts w:ascii="Arial Black" w:eastAsia="Times New Roman" w:hAnsi="Arial Black" w:cs="Times New Roman"/>
                <w:color w:val="000000" w:themeColor="text1"/>
                <w:sz w:val="16"/>
                <w:lang w:val="sr-Latn-RS"/>
              </w:rPr>
            </w:pPr>
            <w:r w:rsidRPr="00935BF9">
              <w:rPr>
                <w:rFonts w:ascii="Cambria Math" w:eastAsiaTheme="minorEastAsia" w:hAnsi="Cambria Math"/>
                <w:color w:val="000000" w:themeColor="text1"/>
                <w:sz w:val="16"/>
                <w:lang w:val="sr-Latn-RS"/>
              </w:rPr>
              <w:t>[S/m]</w:t>
            </w:r>
          </w:p>
        </w:tc>
      </w:tr>
      <w:tr w:rsidR="005772EF" w:rsidRPr="004F0606" w14:paraId="5CBA2E17" w14:textId="4212EA68" w:rsidTr="008D12CD">
        <w:tc>
          <w:tcPr>
            <w:tcW w:w="421" w:type="dxa"/>
            <w:vAlign w:val="center"/>
          </w:tcPr>
          <w:p w14:paraId="3B902077" w14:textId="67FF9BF8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1</w:t>
            </w:r>
          </w:p>
        </w:tc>
        <w:tc>
          <w:tcPr>
            <w:tcW w:w="992" w:type="dxa"/>
            <w:vAlign w:val="center"/>
          </w:tcPr>
          <w:p w14:paraId="233A433C" w14:textId="540F6E35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Provodnik</w:t>
            </w:r>
          </w:p>
        </w:tc>
        <w:tc>
          <w:tcPr>
            <w:tcW w:w="1276" w:type="dxa"/>
            <w:vAlign w:val="center"/>
          </w:tcPr>
          <w:p w14:paraId="0D320BA6" w14:textId="6F03CBCE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Aluminijum</w:t>
            </w:r>
          </w:p>
        </w:tc>
        <w:tc>
          <w:tcPr>
            <w:tcW w:w="708" w:type="dxa"/>
            <w:vAlign w:val="center"/>
          </w:tcPr>
          <w:p w14:paraId="53F59148" w14:textId="11A5030C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37,9</w:t>
            </w:r>
          </w:p>
        </w:tc>
        <w:tc>
          <w:tcPr>
            <w:tcW w:w="426" w:type="dxa"/>
            <w:vAlign w:val="center"/>
          </w:tcPr>
          <w:p w14:paraId="0ED356EB" w14:textId="67930728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1</w:t>
            </w:r>
          </w:p>
        </w:tc>
        <w:tc>
          <w:tcPr>
            <w:tcW w:w="850" w:type="dxa"/>
            <w:vAlign w:val="center"/>
          </w:tcPr>
          <w:p w14:paraId="6AB7772A" w14:textId="09514FFF" w:rsidR="00935BF9" w:rsidRPr="008D12CD" w:rsidRDefault="00935BF9" w:rsidP="005772EF">
            <w:pPr>
              <w:jc w:val="center"/>
              <w:rPr>
                <w:sz w:val="16"/>
                <w:vertAlign w:val="superscript"/>
                <w:lang w:val="sr-Latn-RS"/>
              </w:rPr>
            </w:pPr>
            <w:r>
              <w:rPr>
                <w:sz w:val="16"/>
                <w:lang w:val="sr-Latn-RS"/>
              </w:rPr>
              <w:t>37,74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  <w:lang w:val="sr-Latn-RS"/>
                </w:rPr>
                <m:t>∙</m:t>
              </m:r>
            </m:oMath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lang w:val="sr-Latn-RS"/>
              </w:rPr>
              <w:t>10</w:t>
            </w:r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vertAlign w:val="superscript"/>
                <w:lang w:val="sr-Latn-RS"/>
              </w:rPr>
              <w:t>6</w:t>
            </w:r>
          </w:p>
        </w:tc>
      </w:tr>
      <w:tr w:rsidR="005772EF" w:rsidRPr="004F0606" w14:paraId="392D9A58" w14:textId="1B6368DE" w:rsidTr="008D12CD">
        <w:tc>
          <w:tcPr>
            <w:tcW w:w="421" w:type="dxa"/>
            <w:vAlign w:val="center"/>
          </w:tcPr>
          <w:p w14:paraId="6D871573" w14:textId="0E866E03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</w:t>
            </w:r>
          </w:p>
        </w:tc>
        <w:tc>
          <w:tcPr>
            <w:tcW w:w="992" w:type="dxa"/>
            <w:vAlign w:val="center"/>
          </w:tcPr>
          <w:p w14:paraId="724EC899" w14:textId="563732D1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Ekran provodnika</w:t>
            </w:r>
          </w:p>
        </w:tc>
        <w:tc>
          <w:tcPr>
            <w:tcW w:w="1276" w:type="dxa"/>
            <w:vAlign w:val="center"/>
          </w:tcPr>
          <w:p w14:paraId="53727E1B" w14:textId="5AFCF2B3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Trostruko ekstrudovani poluprovodni umreženi polietilen</w:t>
            </w:r>
          </w:p>
        </w:tc>
        <w:tc>
          <w:tcPr>
            <w:tcW w:w="708" w:type="dxa"/>
            <w:vAlign w:val="center"/>
          </w:tcPr>
          <w:p w14:paraId="6A5CBAA2" w14:textId="041F3E3E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42,4</w:t>
            </w:r>
          </w:p>
        </w:tc>
        <w:tc>
          <w:tcPr>
            <w:tcW w:w="426" w:type="dxa"/>
            <w:vAlign w:val="center"/>
          </w:tcPr>
          <w:p w14:paraId="0270B71E" w14:textId="3E9E1EA7" w:rsidR="00935BF9" w:rsidRPr="004F0606" w:rsidRDefault="00935BF9" w:rsidP="00935BF9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2,3</w:t>
            </w:r>
          </w:p>
        </w:tc>
        <w:tc>
          <w:tcPr>
            <w:tcW w:w="850" w:type="dxa"/>
            <w:vAlign w:val="center"/>
          </w:tcPr>
          <w:p w14:paraId="4FBAC19F" w14:textId="54B2907D" w:rsidR="00935BF9" w:rsidRPr="005772EF" w:rsidRDefault="005772EF" w:rsidP="005772EF">
            <w:pPr>
              <w:jc w:val="center"/>
              <w:rPr>
                <w:sz w:val="16"/>
                <w:vertAlign w:val="superscript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  <w:tr w:rsidR="005772EF" w:rsidRPr="004F0606" w14:paraId="455295AC" w14:textId="4AA2DAB6" w:rsidTr="008D12CD">
        <w:trPr>
          <w:trHeight w:val="71"/>
        </w:trPr>
        <w:tc>
          <w:tcPr>
            <w:tcW w:w="421" w:type="dxa"/>
            <w:vAlign w:val="center"/>
          </w:tcPr>
          <w:p w14:paraId="2586EE66" w14:textId="530AD4AB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3</w:t>
            </w:r>
          </w:p>
        </w:tc>
        <w:tc>
          <w:tcPr>
            <w:tcW w:w="992" w:type="dxa"/>
            <w:vAlign w:val="center"/>
          </w:tcPr>
          <w:p w14:paraId="44749406" w14:textId="618D8274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Izolacija</w:t>
            </w:r>
          </w:p>
        </w:tc>
        <w:tc>
          <w:tcPr>
            <w:tcW w:w="1276" w:type="dxa"/>
            <w:vAlign w:val="center"/>
          </w:tcPr>
          <w:p w14:paraId="475F8345" w14:textId="19667432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Umreženi polietilen</w:t>
            </w:r>
          </w:p>
        </w:tc>
        <w:tc>
          <w:tcPr>
            <w:tcW w:w="708" w:type="dxa"/>
            <w:vAlign w:val="center"/>
          </w:tcPr>
          <w:p w14:paraId="363BC6C8" w14:textId="43B8ABE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72,8</w:t>
            </w:r>
          </w:p>
        </w:tc>
        <w:tc>
          <w:tcPr>
            <w:tcW w:w="426" w:type="dxa"/>
            <w:vAlign w:val="center"/>
          </w:tcPr>
          <w:p w14:paraId="2E45C2E5" w14:textId="67FDAD92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2,3</w:t>
            </w:r>
          </w:p>
        </w:tc>
        <w:tc>
          <w:tcPr>
            <w:tcW w:w="850" w:type="dxa"/>
            <w:vAlign w:val="center"/>
          </w:tcPr>
          <w:p w14:paraId="64AD4BCF" w14:textId="6E66896C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  <w:tr w:rsidR="005772EF" w:rsidRPr="004F0606" w14:paraId="2485DD5E" w14:textId="67424047" w:rsidTr="008D12CD">
        <w:tc>
          <w:tcPr>
            <w:tcW w:w="421" w:type="dxa"/>
            <w:vAlign w:val="center"/>
          </w:tcPr>
          <w:p w14:paraId="0C44B018" w14:textId="09F898A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4</w:t>
            </w:r>
          </w:p>
        </w:tc>
        <w:tc>
          <w:tcPr>
            <w:tcW w:w="992" w:type="dxa"/>
            <w:vAlign w:val="center"/>
          </w:tcPr>
          <w:p w14:paraId="42243C92" w14:textId="2105E823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Ekran izolacije</w:t>
            </w:r>
          </w:p>
        </w:tc>
        <w:tc>
          <w:tcPr>
            <w:tcW w:w="1276" w:type="dxa"/>
            <w:vAlign w:val="center"/>
          </w:tcPr>
          <w:p w14:paraId="03347B31" w14:textId="1126EE24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Trostruko ekstrudovani poluprovodni umreženi polietilen</w:t>
            </w:r>
          </w:p>
        </w:tc>
        <w:tc>
          <w:tcPr>
            <w:tcW w:w="708" w:type="dxa"/>
            <w:vAlign w:val="center"/>
          </w:tcPr>
          <w:p w14:paraId="0F66CB97" w14:textId="40F8F2EB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73,8</w:t>
            </w:r>
          </w:p>
        </w:tc>
        <w:tc>
          <w:tcPr>
            <w:tcW w:w="426" w:type="dxa"/>
            <w:vAlign w:val="center"/>
          </w:tcPr>
          <w:p w14:paraId="759D0997" w14:textId="749A6801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2,3</w:t>
            </w:r>
          </w:p>
        </w:tc>
        <w:tc>
          <w:tcPr>
            <w:tcW w:w="850" w:type="dxa"/>
            <w:vAlign w:val="center"/>
          </w:tcPr>
          <w:p w14:paraId="73A8DC33" w14:textId="60A631E3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  <w:tr w:rsidR="005772EF" w:rsidRPr="004F0606" w14:paraId="049CE0B4" w14:textId="30148CC2" w:rsidTr="008D12CD">
        <w:tc>
          <w:tcPr>
            <w:tcW w:w="421" w:type="dxa"/>
            <w:vAlign w:val="center"/>
          </w:tcPr>
          <w:p w14:paraId="3E8A2E33" w14:textId="6294D264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5</w:t>
            </w:r>
          </w:p>
        </w:tc>
        <w:tc>
          <w:tcPr>
            <w:tcW w:w="992" w:type="dxa"/>
            <w:vAlign w:val="center"/>
          </w:tcPr>
          <w:p w14:paraId="561B2634" w14:textId="79C1311D" w:rsidR="00935BF9" w:rsidRPr="004F0606" w:rsidRDefault="00935BF9" w:rsidP="001870A2">
            <w:pPr>
              <w:pStyle w:val="Paragraf"/>
              <w:spacing w:after="0" w:line="276" w:lineRule="auto"/>
              <w:ind w:firstLine="0"/>
              <w:jc w:val="center"/>
            </w:pPr>
            <w:r w:rsidRPr="004F0606">
              <w:rPr>
                <w:sz w:val="16"/>
                <w:lang w:val="sr-Latn-RS"/>
              </w:rPr>
              <w:t>Separator</w:t>
            </w:r>
          </w:p>
        </w:tc>
        <w:tc>
          <w:tcPr>
            <w:tcW w:w="1276" w:type="dxa"/>
            <w:vAlign w:val="center"/>
          </w:tcPr>
          <w:p w14:paraId="6A958443" w14:textId="212ACA16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Poluprovodna bubreća traka</w:t>
            </w:r>
          </w:p>
        </w:tc>
        <w:tc>
          <w:tcPr>
            <w:tcW w:w="708" w:type="dxa"/>
            <w:vAlign w:val="center"/>
          </w:tcPr>
          <w:p w14:paraId="04FFE359" w14:textId="7C5BDF53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74,9</w:t>
            </w:r>
          </w:p>
        </w:tc>
        <w:tc>
          <w:tcPr>
            <w:tcW w:w="426" w:type="dxa"/>
            <w:vAlign w:val="center"/>
          </w:tcPr>
          <w:p w14:paraId="67C17B1C" w14:textId="2BDDFC1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2,5</w:t>
            </w:r>
          </w:p>
        </w:tc>
        <w:tc>
          <w:tcPr>
            <w:tcW w:w="850" w:type="dxa"/>
            <w:vAlign w:val="center"/>
          </w:tcPr>
          <w:p w14:paraId="1F68CE9D" w14:textId="14F3130B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  <w:tr w:rsidR="005772EF" w:rsidRPr="004F0606" w14:paraId="47AEB31F" w14:textId="12CB123D" w:rsidTr="008D12CD">
        <w:tc>
          <w:tcPr>
            <w:tcW w:w="421" w:type="dxa"/>
            <w:vAlign w:val="center"/>
          </w:tcPr>
          <w:p w14:paraId="116512B7" w14:textId="7E1DB86A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6</w:t>
            </w:r>
          </w:p>
        </w:tc>
        <w:tc>
          <w:tcPr>
            <w:tcW w:w="992" w:type="dxa"/>
            <w:vAlign w:val="center"/>
          </w:tcPr>
          <w:p w14:paraId="6D8BA83B" w14:textId="5538C054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Električna zaštita</w:t>
            </w:r>
          </w:p>
        </w:tc>
        <w:tc>
          <w:tcPr>
            <w:tcW w:w="1276" w:type="dxa"/>
            <w:vAlign w:val="center"/>
          </w:tcPr>
          <w:p w14:paraId="21C1D0A7" w14:textId="7D37403C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Bakar</w:t>
            </w:r>
          </w:p>
        </w:tc>
        <w:tc>
          <w:tcPr>
            <w:tcW w:w="708" w:type="dxa"/>
            <w:vAlign w:val="center"/>
          </w:tcPr>
          <w:p w14:paraId="236E5BD4" w14:textId="1435CAF1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77,6</w:t>
            </w:r>
          </w:p>
        </w:tc>
        <w:tc>
          <w:tcPr>
            <w:tcW w:w="426" w:type="dxa"/>
            <w:vAlign w:val="center"/>
          </w:tcPr>
          <w:p w14:paraId="5BC5A097" w14:textId="1211644C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1</w:t>
            </w:r>
          </w:p>
        </w:tc>
        <w:tc>
          <w:tcPr>
            <w:tcW w:w="850" w:type="dxa"/>
            <w:vAlign w:val="center"/>
          </w:tcPr>
          <w:p w14:paraId="1387604A" w14:textId="0D7B673C" w:rsidR="00935BF9" w:rsidRPr="004F0606" w:rsidRDefault="00667B79" w:rsidP="005772EF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59</w:t>
            </w:r>
            <w:r w:rsidR="005772EF">
              <w:rPr>
                <w:sz w:val="16"/>
                <w:lang w:val="sr-Latn-RS"/>
              </w:rPr>
              <w:t>,</w:t>
            </w:r>
            <w:r>
              <w:rPr>
                <w:sz w:val="16"/>
                <w:lang w:val="sr-Latn-RS"/>
              </w:rPr>
              <w:t>98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  <w:lang w:val="sr-Latn-RS"/>
                </w:rPr>
                <m:t>∙</m:t>
              </m:r>
            </m:oMath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lang w:val="sr-Latn-RS"/>
              </w:rPr>
              <w:t>10</w:t>
            </w:r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vertAlign w:val="superscript"/>
                <w:lang w:val="sr-Latn-RS"/>
              </w:rPr>
              <w:t>6</w:t>
            </w:r>
          </w:p>
        </w:tc>
      </w:tr>
      <w:tr w:rsidR="005772EF" w:rsidRPr="004F0606" w14:paraId="7C7775FA" w14:textId="4B85BE37" w:rsidTr="008D12CD">
        <w:tc>
          <w:tcPr>
            <w:tcW w:w="421" w:type="dxa"/>
            <w:vAlign w:val="center"/>
          </w:tcPr>
          <w:p w14:paraId="141A862E" w14:textId="4041701B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7</w:t>
            </w:r>
          </w:p>
        </w:tc>
        <w:tc>
          <w:tcPr>
            <w:tcW w:w="992" w:type="dxa"/>
            <w:vAlign w:val="center"/>
          </w:tcPr>
          <w:p w14:paraId="589A44FD" w14:textId="3391D7AB" w:rsidR="00935BF9" w:rsidRPr="004F0606" w:rsidRDefault="00935BF9" w:rsidP="001870A2">
            <w:pPr>
              <w:pStyle w:val="Paragraf"/>
              <w:spacing w:after="0" w:line="276" w:lineRule="auto"/>
              <w:ind w:firstLine="0"/>
              <w:jc w:val="center"/>
            </w:pPr>
            <w:r w:rsidRPr="004F0606">
              <w:rPr>
                <w:sz w:val="16"/>
                <w:lang w:val="sr-Latn-RS"/>
              </w:rPr>
              <w:t>Separator</w:t>
            </w:r>
          </w:p>
        </w:tc>
        <w:tc>
          <w:tcPr>
            <w:tcW w:w="1276" w:type="dxa"/>
            <w:vAlign w:val="center"/>
          </w:tcPr>
          <w:p w14:paraId="3155732E" w14:textId="5B38809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Poluprovodna bubreća traka</w:t>
            </w:r>
          </w:p>
        </w:tc>
        <w:tc>
          <w:tcPr>
            <w:tcW w:w="708" w:type="dxa"/>
            <w:vAlign w:val="center"/>
          </w:tcPr>
          <w:p w14:paraId="36307A50" w14:textId="06CB5299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78,0</w:t>
            </w:r>
          </w:p>
        </w:tc>
        <w:tc>
          <w:tcPr>
            <w:tcW w:w="426" w:type="dxa"/>
            <w:vAlign w:val="center"/>
          </w:tcPr>
          <w:p w14:paraId="7CD1174A" w14:textId="3647C31B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2,5</w:t>
            </w:r>
          </w:p>
        </w:tc>
        <w:tc>
          <w:tcPr>
            <w:tcW w:w="850" w:type="dxa"/>
            <w:vAlign w:val="center"/>
          </w:tcPr>
          <w:p w14:paraId="64DF1AD2" w14:textId="65DC407F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  <w:tr w:rsidR="005772EF" w:rsidRPr="004F0606" w14:paraId="7CDB2EB3" w14:textId="5E14D822" w:rsidTr="008D12CD">
        <w:tc>
          <w:tcPr>
            <w:tcW w:w="421" w:type="dxa"/>
            <w:vAlign w:val="center"/>
          </w:tcPr>
          <w:p w14:paraId="0DF60104" w14:textId="7A14A7B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8</w:t>
            </w:r>
          </w:p>
        </w:tc>
        <w:tc>
          <w:tcPr>
            <w:tcW w:w="992" w:type="dxa"/>
            <w:vAlign w:val="center"/>
          </w:tcPr>
          <w:p w14:paraId="3191C069" w14:textId="08520B73" w:rsidR="00935BF9" w:rsidRPr="004F0606" w:rsidRDefault="00935BF9" w:rsidP="001870A2">
            <w:pPr>
              <w:pStyle w:val="Paragraf"/>
              <w:spacing w:after="0" w:line="276" w:lineRule="auto"/>
              <w:ind w:firstLine="0"/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Laminirani plašt</w:t>
            </w:r>
          </w:p>
        </w:tc>
        <w:tc>
          <w:tcPr>
            <w:tcW w:w="1276" w:type="dxa"/>
            <w:vAlign w:val="center"/>
          </w:tcPr>
          <w:p w14:paraId="3F8F3A56" w14:textId="17C5E7FE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 xml:space="preserve">Aluminijum </w:t>
            </w:r>
          </w:p>
        </w:tc>
        <w:tc>
          <w:tcPr>
            <w:tcW w:w="708" w:type="dxa"/>
            <w:vAlign w:val="center"/>
          </w:tcPr>
          <w:p w14:paraId="74BDC5F0" w14:textId="5D568FAD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78,7</w:t>
            </w:r>
          </w:p>
        </w:tc>
        <w:tc>
          <w:tcPr>
            <w:tcW w:w="426" w:type="dxa"/>
            <w:vAlign w:val="center"/>
          </w:tcPr>
          <w:p w14:paraId="2F5F7A14" w14:textId="272BAE63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1</w:t>
            </w:r>
          </w:p>
        </w:tc>
        <w:tc>
          <w:tcPr>
            <w:tcW w:w="850" w:type="dxa"/>
            <w:vAlign w:val="center"/>
          </w:tcPr>
          <w:p w14:paraId="60B47521" w14:textId="52340E1C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37,74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16"/>
                  <w:szCs w:val="16"/>
                  <w:lang w:val="sr-Latn-RS"/>
                </w:rPr>
                <m:t>∙</m:t>
              </m:r>
            </m:oMath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lang w:val="sr-Latn-RS"/>
              </w:rPr>
              <w:t>10</w:t>
            </w:r>
            <w:r w:rsidR="008D12CD" w:rsidRPr="008D12CD">
              <w:rPr>
                <w:rFonts w:eastAsiaTheme="minorEastAsia"/>
                <w:color w:val="000000" w:themeColor="text1"/>
                <w:sz w:val="16"/>
                <w:szCs w:val="16"/>
                <w:vertAlign w:val="superscript"/>
                <w:lang w:val="sr-Latn-RS"/>
              </w:rPr>
              <w:t>6</w:t>
            </w:r>
          </w:p>
        </w:tc>
      </w:tr>
      <w:tr w:rsidR="005772EF" w:rsidRPr="004F0606" w14:paraId="7DB9343C" w14:textId="05FE5898" w:rsidTr="008D12CD">
        <w:tc>
          <w:tcPr>
            <w:tcW w:w="421" w:type="dxa"/>
            <w:vAlign w:val="center"/>
          </w:tcPr>
          <w:p w14:paraId="7F9B7645" w14:textId="51CDC762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9</w:t>
            </w:r>
          </w:p>
        </w:tc>
        <w:tc>
          <w:tcPr>
            <w:tcW w:w="992" w:type="dxa"/>
            <w:vAlign w:val="center"/>
          </w:tcPr>
          <w:p w14:paraId="0A152EFA" w14:textId="5E66D603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Spoljašnji plašt</w:t>
            </w:r>
          </w:p>
        </w:tc>
        <w:tc>
          <w:tcPr>
            <w:tcW w:w="1276" w:type="dxa"/>
            <w:vAlign w:val="center"/>
          </w:tcPr>
          <w:p w14:paraId="69B7F4AD" w14:textId="2A2D2202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Polietilen visoke gustine</w:t>
            </w:r>
          </w:p>
        </w:tc>
        <w:tc>
          <w:tcPr>
            <w:tcW w:w="708" w:type="dxa"/>
            <w:vAlign w:val="center"/>
          </w:tcPr>
          <w:p w14:paraId="5132721B" w14:textId="1C4F996C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>
              <w:rPr>
                <w:sz w:val="16"/>
                <w:lang w:val="sr-Latn-RS"/>
              </w:rPr>
              <w:t>84,7</w:t>
            </w:r>
          </w:p>
        </w:tc>
        <w:tc>
          <w:tcPr>
            <w:tcW w:w="426" w:type="dxa"/>
            <w:vAlign w:val="center"/>
          </w:tcPr>
          <w:p w14:paraId="175046CF" w14:textId="2E8D3E11" w:rsidR="00935BF9" w:rsidRPr="004F0606" w:rsidRDefault="00935BF9" w:rsidP="004F0606">
            <w:pPr>
              <w:jc w:val="center"/>
              <w:rPr>
                <w:sz w:val="16"/>
                <w:lang w:val="sr-Latn-RS"/>
              </w:rPr>
            </w:pPr>
            <w:r w:rsidRPr="004F0606">
              <w:rPr>
                <w:sz w:val="16"/>
                <w:lang w:val="sr-Latn-RS"/>
              </w:rPr>
              <w:t>2,4</w:t>
            </w:r>
          </w:p>
        </w:tc>
        <w:tc>
          <w:tcPr>
            <w:tcW w:w="850" w:type="dxa"/>
            <w:vAlign w:val="center"/>
          </w:tcPr>
          <w:p w14:paraId="09997E63" w14:textId="0B408D1C" w:rsidR="00935BF9" w:rsidRPr="004F0606" w:rsidRDefault="005772EF" w:rsidP="005772EF">
            <w:pPr>
              <w:jc w:val="center"/>
              <w:rPr>
                <w:sz w:val="16"/>
                <w:lang w:val="sr-Latn-RS"/>
              </w:rPr>
            </w:pPr>
            <w:r w:rsidRPr="005772EF">
              <w:rPr>
                <w:sz w:val="16"/>
                <w:lang w:val="sr-Latn-RS"/>
              </w:rPr>
              <w:t>10</w:t>
            </w:r>
            <w:r w:rsidR="008D12CD">
              <w:rPr>
                <w:sz w:val="16"/>
                <w:vertAlign w:val="superscript"/>
                <w:lang w:val="sr-Latn-RS"/>
              </w:rPr>
              <w:t>-15</w:t>
            </w:r>
          </w:p>
        </w:tc>
      </w:tr>
    </w:tbl>
    <w:p w14:paraId="7FEDCFC4" w14:textId="7DA94CA1" w:rsidR="00673852" w:rsidRDefault="00833E2C" w:rsidP="00CC606E">
      <w:pPr>
        <w:spacing w:before="120"/>
        <w:rPr>
          <w:lang w:val="sr-Latn-RS"/>
        </w:rPr>
      </w:pPr>
      <w:r>
        <w:rPr>
          <w:lang w:val="sr-Latn-RS"/>
        </w:rPr>
        <w:t xml:space="preserve">Posebna pažnja u ovom radu posvećena je pojavi vodenog </w:t>
      </w:r>
      <w:r w:rsidR="00667B79">
        <w:rPr>
          <w:lang w:val="sr-Latn-RS"/>
        </w:rPr>
        <w:t>grananja</w:t>
      </w:r>
      <w:r>
        <w:rPr>
          <w:lang w:val="sr-Latn-RS"/>
        </w:rPr>
        <w:t>, koja se ogleda kroz degradaciju sintetičke izolacije usled jednovremenog dejstva vode i električnog polja.</w:t>
      </w:r>
      <w:r w:rsidR="00667B79">
        <w:rPr>
          <w:lang w:val="sr-Latn-RS"/>
        </w:rPr>
        <w:t xml:space="preserve"> Prema mestu </w:t>
      </w:r>
      <w:r w:rsidR="00667B79" w:rsidRPr="00BB2869">
        <w:rPr>
          <w:lang w:val="sr-Latn-RS"/>
        </w:rPr>
        <w:t>nastanaka</w:t>
      </w:r>
      <w:r w:rsidR="00811E10" w:rsidRPr="00BB2869">
        <w:rPr>
          <w:lang w:val="sr-Latn-RS"/>
        </w:rPr>
        <w:t xml:space="preserve"> </w:t>
      </w:r>
      <w:r w:rsidR="00811E10" w:rsidRPr="002746BD">
        <w:rPr>
          <w:lang w:val="sr-Latn-RS"/>
        </w:rPr>
        <w:t>pukotine u izolaciji</w:t>
      </w:r>
      <w:r w:rsidR="00811E10">
        <w:rPr>
          <w:lang w:val="sr-Latn-RS"/>
        </w:rPr>
        <w:t>,</w:t>
      </w:r>
      <w:r w:rsidR="00667B79">
        <w:rPr>
          <w:lang w:val="sr-Latn-RS"/>
        </w:rPr>
        <w:t xml:space="preserve"> izvršena je osnovna podela na vodeno </w:t>
      </w:r>
      <w:r w:rsidR="00741B2E">
        <w:rPr>
          <w:lang w:val="sr-Latn-RS"/>
        </w:rPr>
        <w:t xml:space="preserve">grananje </w:t>
      </w:r>
      <w:r w:rsidR="00667B79">
        <w:rPr>
          <w:lang w:val="sr-Latn-RS"/>
        </w:rPr>
        <w:t>koje se javlja na ekranu provodnika ili izolacije, kao i na ono koje se razvija iz n</w:t>
      </w:r>
      <w:r w:rsidR="00BB2869">
        <w:rPr>
          <w:lang w:val="sr-Latn-RS"/>
        </w:rPr>
        <w:t>e</w:t>
      </w:r>
      <w:r w:rsidR="00667B79">
        <w:rPr>
          <w:lang w:val="sr-Latn-RS"/>
        </w:rPr>
        <w:t>pravilnosti u unutrašnjim slojevima izolacije</w:t>
      </w:r>
      <w:r w:rsidR="00FD4BBF">
        <w:rPr>
          <w:lang w:val="sr-Latn-RS"/>
        </w:rPr>
        <w:t xml:space="preserve"> [4]</w:t>
      </w:r>
      <w:r w:rsidR="00667B79">
        <w:rPr>
          <w:lang w:val="sr-Latn-RS"/>
        </w:rPr>
        <w:t>.</w:t>
      </w:r>
    </w:p>
    <w:p w14:paraId="577878D2" w14:textId="3E0178E8" w:rsidR="00854BB9" w:rsidRPr="00854BB9" w:rsidRDefault="00833E2C" w:rsidP="001870A2">
      <w:pPr>
        <w:spacing w:before="60" w:after="120"/>
        <w:rPr>
          <w:lang w:val="sr-Latn-RS"/>
        </w:rPr>
      </w:pPr>
      <w:r>
        <w:rPr>
          <w:lang w:val="sr-Latn-RS"/>
        </w:rPr>
        <w:t xml:space="preserve">Kako je praksa pokazala, </w:t>
      </w:r>
      <w:r w:rsidRPr="00010D09">
        <w:rPr>
          <w:lang w:val="sr-Latn-RS"/>
        </w:rPr>
        <w:t xml:space="preserve">najopasnijom vrstom vodenog </w:t>
      </w:r>
      <w:r w:rsidR="00667B79">
        <w:rPr>
          <w:lang w:val="sr-Latn-RS"/>
        </w:rPr>
        <w:t>grananja</w:t>
      </w:r>
      <w:r w:rsidR="00667B79" w:rsidRPr="00010D09">
        <w:rPr>
          <w:lang w:val="sr-Latn-RS"/>
        </w:rPr>
        <w:t xml:space="preserve"> </w:t>
      </w:r>
      <w:r w:rsidRPr="00010D09">
        <w:rPr>
          <w:lang w:val="sr-Latn-RS"/>
        </w:rPr>
        <w:t xml:space="preserve">se smatra </w:t>
      </w:r>
      <w:r w:rsidR="00667B79">
        <w:rPr>
          <w:lang w:val="sr-Latn-RS"/>
        </w:rPr>
        <w:t xml:space="preserve">slučaj njegovog nastanka na ekranu </w:t>
      </w:r>
      <w:r w:rsidR="00667B79">
        <w:rPr>
          <w:lang w:val="sr-Latn-RS"/>
        </w:rPr>
        <w:lastRenderedPageBreak/>
        <w:t>izolacije</w:t>
      </w:r>
      <w:r w:rsidR="00854BB9">
        <w:rPr>
          <w:lang w:val="sr-Latn-RS"/>
        </w:rPr>
        <w:t xml:space="preserve">. U skladu sa tim, osnovni cilj ovog rada je usmeren na određivanje uticaja </w:t>
      </w:r>
      <w:r w:rsidR="00667B79">
        <w:rPr>
          <w:lang w:val="sr-Latn-RS"/>
        </w:rPr>
        <w:t xml:space="preserve">ove vrste vodenog granjanja </w:t>
      </w:r>
      <w:r w:rsidR="00854BB9">
        <w:rPr>
          <w:lang w:val="sr-Latn-RS"/>
        </w:rPr>
        <w:t>na raspodelu električnog polja i potencijala unutar kabla.</w:t>
      </w:r>
      <w:r w:rsidR="007857A5">
        <w:rPr>
          <w:lang w:val="sr-Latn-RS"/>
        </w:rPr>
        <w:t xml:space="preserve"> </w:t>
      </w:r>
      <w:r w:rsidR="00CC1377" w:rsidRPr="00CC1377">
        <w:rPr>
          <w:lang w:val="sr-Latn-RS"/>
        </w:rPr>
        <w:t>Za potreb</w:t>
      </w:r>
      <w:r w:rsidR="00CC1377">
        <w:rPr>
          <w:lang w:val="sr-Latn-RS"/>
        </w:rPr>
        <w:t>e modelovanja</w:t>
      </w:r>
      <w:r w:rsidR="00854BB9">
        <w:rPr>
          <w:lang w:val="sr-Latn-RS"/>
        </w:rPr>
        <w:t xml:space="preserve"> korišćena je uprošćena </w:t>
      </w:r>
      <w:r w:rsidR="00010D09">
        <w:rPr>
          <w:lang w:val="sr-Latn-RS"/>
        </w:rPr>
        <w:t>geometrija prikazana na slici 3</w:t>
      </w:r>
      <w:r w:rsidR="00CC1377" w:rsidRPr="00CC1377">
        <w:rPr>
          <w:lang w:val="sr-Latn-RS"/>
        </w:rPr>
        <w:t>.</w:t>
      </w:r>
    </w:p>
    <w:p w14:paraId="012AF6CD" w14:textId="77777777" w:rsidR="00CC606E" w:rsidRDefault="00854BB9" w:rsidP="00CC606E">
      <w:pPr>
        <w:pStyle w:val="Paragraf"/>
        <w:keepNext/>
        <w:spacing w:after="0"/>
        <w:ind w:firstLine="0"/>
        <w:jc w:val="center"/>
      </w:pPr>
      <w:r>
        <w:rPr>
          <w:rFonts w:asciiTheme="minorHAnsi" w:eastAsiaTheme="minorEastAsia" w:hAnsiTheme="minorHAnsi" w:cstheme="minorBidi"/>
          <w:noProof/>
          <w:szCs w:val="22"/>
          <w:lang w:val="sr-Latn-RS" w:eastAsia="sr-Latn-RS"/>
        </w:rPr>
        <w:drawing>
          <wp:inline distT="0" distB="0" distL="0" distR="0" wp14:anchorId="72B10E63" wp14:editId="67A16624">
            <wp:extent cx="1800225" cy="139990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va tri dijagrama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2" t="53299" r="709" b="5209"/>
                    <a:stretch/>
                  </pic:blipFill>
                  <pic:spPr bwMode="auto">
                    <a:xfrm>
                      <a:off x="0" y="0"/>
                      <a:ext cx="1881927" cy="1463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FF25F" w14:textId="23172489" w:rsidR="00F26252" w:rsidRDefault="00CC606E" w:rsidP="00CC606E">
      <w:pPr>
        <w:pStyle w:val="Caption"/>
        <w:spacing w:after="120"/>
        <w:jc w:val="center"/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2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="003F60E6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 w:rsidRPr="00CC606E">
        <w:rPr>
          <w:i/>
          <w:caps w:val="0"/>
          <w:spacing w:val="0"/>
          <w:szCs w:val="22"/>
          <w:lang w:val="sr-Latn-RS"/>
        </w:rPr>
        <w:t xml:space="preserve"> </w:t>
      </w:r>
      <w:r w:rsidRPr="00F26252">
        <w:rPr>
          <w:i/>
          <w:caps w:val="0"/>
          <w:spacing w:val="0"/>
          <w:szCs w:val="22"/>
          <w:lang w:val="sr-Latn-RS"/>
        </w:rPr>
        <w:t xml:space="preserve">Pojednostavljeni oblik vodenog </w:t>
      </w:r>
      <w:r>
        <w:rPr>
          <w:i/>
          <w:caps w:val="0"/>
          <w:spacing w:val="0"/>
          <w:szCs w:val="22"/>
          <w:lang w:val="sr-Latn-RS"/>
        </w:rPr>
        <w:t xml:space="preserve">grananja </w:t>
      </w:r>
      <w:r w:rsidRPr="00F26252">
        <w:rPr>
          <w:i/>
          <w:caps w:val="0"/>
          <w:spacing w:val="0"/>
          <w:szCs w:val="22"/>
          <w:lang w:val="sr-Latn-RS"/>
        </w:rPr>
        <w:t>na ekranu izolacije</w:t>
      </w:r>
    </w:p>
    <w:p w14:paraId="56544F44" w14:textId="07D68A96" w:rsidR="00854BB9" w:rsidRDefault="00854BB9" w:rsidP="005A752E">
      <w:pPr>
        <w:spacing w:before="60"/>
        <w:rPr>
          <w:lang w:val="sr-Latn-RS"/>
        </w:rPr>
      </w:pPr>
      <w:r>
        <w:rPr>
          <w:lang w:val="sr-Latn-RS"/>
        </w:rPr>
        <w:t xml:space="preserve">Za potrebe definisanja relativne permitivnosti vodenog </w:t>
      </w:r>
      <w:r w:rsidR="00BB2869">
        <w:rPr>
          <w:lang w:val="sr-Latn-RS"/>
        </w:rPr>
        <w:t xml:space="preserve">grananja </w:t>
      </w:r>
      <w:r>
        <w:rPr>
          <w:lang w:val="sr-Latn-RS"/>
        </w:rPr>
        <w:t xml:space="preserve">iskorišćen je rezultat studije </w:t>
      </w:r>
      <w:r w:rsidR="00FD4BBF">
        <w:rPr>
          <w:lang w:val="sr-Latn-RS"/>
        </w:rPr>
        <w:t>[5</w:t>
      </w:r>
      <w:r w:rsidRPr="00FD4BBF">
        <w:rPr>
          <w:lang w:val="sr-Latn-RS"/>
        </w:rPr>
        <w:t>]</w:t>
      </w:r>
      <w:r>
        <w:rPr>
          <w:lang w:val="sr-Latn-RS"/>
        </w:rPr>
        <w:t xml:space="preserve"> koja je pokazala da je maksimalna vrednost relativne permitivnosti oblasti vodenog </w:t>
      </w:r>
      <w:r w:rsidR="00BB2869">
        <w:rPr>
          <w:lang w:val="sr-Latn-RS"/>
        </w:rPr>
        <w:t xml:space="preserve">grananja </w:t>
      </w:r>
      <w:r>
        <w:rPr>
          <w:lang w:val="sr-Latn-RS"/>
        </w:rPr>
        <w:t xml:space="preserve">tri puta veća od relativne permitivnosti izolacije. Sa druge strane, za potrebe definisanja specifične provodnosti vodenog </w:t>
      </w:r>
      <w:r w:rsidR="00BB2869">
        <w:rPr>
          <w:lang w:val="sr-Latn-RS"/>
        </w:rPr>
        <w:t xml:space="preserve">grananja </w:t>
      </w:r>
      <w:r>
        <w:rPr>
          <w:lang w:val="sr-Latn-RS"/>
        </w:rPr>
        <w:t xml:space="preserve">iskorišćen je rezultat studije </w:t>
      </w:r>
      <w:r w:rsidR="00FD4BBF">
        <w:rPr>
          <w:lang w:val="sr-Latn-RS"/>
        </w:rPr>
        <w:t>[6</w:t>
      </w:r>
      <w:r w:rsidRPr="00FD4BBF">
        <w:rPr>
          <w:lang w:val="sr-Latn-RS"/>
        </w:rPr>
        <w:t>]</w:t>
      </w:r>
      <w:r>
        <w:rPr>
          <w:lang w:val="sr-Latn-RS"/>
        </w:rPr>
        <w:t xml:space="preserve"> kojom je pokazano da je makismalna vrednost</w:t>
      </w:r>
      <w:r w:rsidRPr="00CA1F4E">
        <w:rPr>
          <w:lang w:val="sr-Latn-RS"/>
        </w:rPr>
        <w:t xml:space="preserve"> </w:t>
      </w:r>
      <w:r>
        <w:rPr>
          <w:lang w:val="sr-Latn-RS"/>
        </w:rPr>
        <w:t xml:space="preserve">specifične provodnosti regije vodenog </w:t>
      </w:r>
      <w:r w:rsidR="00BB2869">
        <w:rPr>
          <w:lang w:val="sr-Latn-RS"/>
        </w:rPr>
        <w:t xml:space="preserve">grananja </w:t>
      </w:r>
      <w:r>
        <w:rPr>
          <w:lang w:val="sr-Latn-RS"/>
        </w:rPr>
        <w:t>10</w:t>
      </w:r>
      <w:r w:rsidR="00010D09">
        <w:rPr>
          <w:vertAlign w:val="superscript"/>
          <w:lang w:val="sr-Latn-RS"/>
        </w:rPr>
        <w:t>10</w:t>
      </w:r>
      <w:r>
        <w:rPr>
          <w:lang w:val="sr-Latn-RS"/>
        </w:rPr>
        <w:t xml:space="preserve"> puta veća od specifične provodnosti izolacije. U ovom radu, za potrebe modelovanja vodenog </w:t>
      </w:r>
      <w:r w:rsidR="00BB2869">
        <w:rPr>
          <w:lang w:val="sr-Latn-RS"/>
        </w:rPr>
        <w:t>grananja</w:t>
      </w:r>
      <w:r>
        <w:rPr>
          <w:lang w:val="sr-Latn-RS"/>
        </w:rPr>
        <w:t>, usvojen</w:t>
      </w:r>
      <w:r w:rsidR="00563C69">
        <w:rPr>
          <w:lang w:val="sr-Latn-RS"/>
        </w:rPr>
        <w:t>o</w:t>
      </w:r>
      <w:r>
        <w:rPr>
          <w:lang w:val="sr-Latn-RS"/>
        </w:rPr>
        <w:t xml:space="preserve"> je linearn</w:t>
      </w:r>
      <w:r w:rsidR="00563C69">
        <w:rPr>
          <w:lang w:val="sr-Latn-RS"/>
        </w:rPr>
        <w:t>o smanjenje</w:t>
      </w:r>
      <w:r>
        <w:rPr>
          <w:lang w:val="sr-Latn-RS"/>
        </w:rPr>
        <w:t xml:space="preserve"> relativne permitivnosti i specifične provodnosti</w:t>
      </w:r>
      <w:r w:rsidR="00511B9F">
        <w:rPr>
          <w:lang w:val="sr-Latn-RS"/>
        </w:rPr>
        <w:t>,</w:t>
      </w:r>
      <w:r>
        <w:rPr>
          <w:lang w:val="sr-Latn-RS"/>
        </w:rPr>
        <w:t xml:space="preserve"> </w:t>
      </w:r>
      <w:r w:rsidR="00563C69">
        <w:rPr>
          <w:lang w:val="sr-Latn-RS"/>
        </w:rPr>
        <w:t xml:space="preserve">od vrha vodenog grananja do njegovog korena uz separatorski sloj, </w:t>
      </w:r>
      <w:r>
        <w:rPr>
          <w:lang w:val="sr-Latn-RS"/>
        </w:rPr>
        <w:t>koje su definisane na sledeći način: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0"/>
      </w:tblGrid>
      <w:tr w:rsidR="00A01B1B" w14:paraId="36F42157" w14:textId="77777777" w:rsidTr="00AC56EC">
        <w:tc>
          <w:tcPr>
            <w:tcW w:w="4248" w:type="dxa"/>
            <w:vAlign w:val="center"/>
          </w:tcPr>
          <w:p w14:paraId="6D6FFC21" w14:textId="75F3A484" w:rsidR="00A01B1B" w:rsidRDefault="00F312A2" w:rsidP="00A01B1B">
            <w:pPr>
              <w:spacing w:before="60"/>
              <w:jc w:val="center"/>
              <w:rPr>
                <w:lang w:val="sr-Latn-R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r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Cs w:val="20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max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Cs w:val="20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min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 xml:space="preserve">min </m:t>
                  </m:r>
                </m:sub>
              </m:sSub>
            </m:oMath>
            <w:r w:rsidR="00A01B1B" w:rsidRPr="002746BD">
              <w:rPr>
                <w:rFonts w:ascii="Cambria Math" w:hAnsi="Cambria Math" w:cs="Times New Roman"/>
                <w:iCs/>
                <w:color w:val="000000" w:themeColor="text1"/>
                <w:szCs w:val="20"/>
                <w:lang w:val="sr-Latn-RS"/>
              </w:rPr>
              <w:t>,</w:t>
            </w:r>
          </w:p>
        </w:tc>
        <w:tc>
          <w:tcPr>
            <w:tcW w:w="419" w:type="dxa"/>
            <w:vAlign w:val="center"/>
          </w:tcPr>
          <w:p w14:paraId="7C2873EC" w14:textId="03A3F14B" w:rsidR="00A01B1B" w:rsidRDefault="00E44D8A" w:rsidP="00A01B1B">
            <w:pPr>
              <w:spacing w:before="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(6</w:t>
            </w:r>
            <w:r w:rsidR="00A01B1B">
              <w:rPr>
                <w:lang w:val="sr-Latn-RS"/>
              </w:rPr>
              <w:t>)</w:t>
            </w:r>
          </w:p>
        </w:tc>
      </w:tr>
      <w:tr w:rsidR="00AC56EC" w14:paraId="75068BCF" w14:textId="77777777" w:rsidTr="00AC56EC">
        <w:tc>
          <w:tcPr>
            <w:tcW w:w="4248" w:type="dxa"/>
            <w:vAlign w:val="center"/>
          </w:tcPr>
          <w:p w14:paraId="0D786088" w14:textId="4C8F5C1B" w:rsidR="00AC56EC" w:rsidRDefault="00AC56EC" w:rsidP="00A01B1B">
            <w:pPr>
              <w:spacing w:before="60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0"/>
                <w:lang w:val="sr-Latn-RS"/>
              </w:rPr>
            </w:pPr>
            <w:r w:rsidRPr="002506EE">
              <w:rPr>
                <w:rFonts w:ascii="Cambria Math" w:eastAsiaTheme="minorEastAsia" w:hAnsi="Cambria Math" w:cs="Times New Roman"/>
                <w:i/>
                <w:iCs/>
                <w:color w:val="000000" w:themeColor="text1"/>
                <w:szCs w:val="20"/>
                <w:lang w:val="sr-Latn-RS"/>
              </w:rPr>
              <w:t xml:space="preserve"> 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σ=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Cs w:val="20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max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color w:val="000000" w:themeColor="text1"/>
                          <w:szCs w:val="20"/>
                          <w:lang w:val="sr-Latn-R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Cs w:val="20"/>
                          <w:lang w:val="sr-Latn-RS"/>
                        </w:rPr>
                        <m:t>min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Cs w:val="20"/>
                  <w:lang w:val="sr-Latn-R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color w:val="000000" w:themeColor="text1"/>
                      <w:szCs w:val="20"/>
                      <w:lang w:val="sr-Latn-R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>σ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Cs w:val="20"/>
                      <w:lang w:val="sr-Latn-RS"/>
                    </w:rPr>
                    <m:t xml:space="preserve">min </m:t>
                  </m:r>
                </m:sub>
              </m:sSub>
            </m:oMath>
            <w:r w:rsidR="00BB2869" w:rsidRPr="002746BD">
              <w:rPr>
                <w:rFonts w:ascii="Cambria Math" w:hAnsi="Cambria Math" w:cs="Times New Roman"/>
                <w:iCs/>
                <w:color w:val="000000" w:themeColor="text1"/>
                <w:szCs w:val="20"/>
                <w:lang w:val="sr-Latn-RS"/>
              </w:rPr>
              <w:t>,</w:t>
            </w:r>
          </w:p>
        </w:tc>
        <w:tc>
          <w:tcPr>
            <w:tcW w:w="419" w:type="dxa"/>
            <w:vAlign w:val="center"/>
          </w:tcPr>
          <w:p w14:paraId="5E1C0C09" w14:textId="32C70366" w:rsidR="00AC56EC" w:rsidRDefault="00E44D8A" w:rsidP="00A01B1B">
            <w:pPr>
              <w:spacing w:before="6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(7</w:t>
            </w:r>
            <w:r w:rsidR="00AC56EC">
              <w:rPr>
                <w:lang w:val="sr-Latn-RS"/>
              </w:rPr>
              <w:t>)</w:t>
            </w:r>
          </w:p>
        </w:tc>
      </w:tr>
    </w:tbl>
    <w:p w14:paraId="752A107C" w14:textId="32CD59D1" w:rsidR="00F26252" w:rsidRPr="00F26252" w:rsidRDefault="00F26252" w:rsidP="00F26252">
      <w:pPr>
        <w:pStyle w:val="Paragraf"/>
        <w:spacing w:after="0" w:line="276" w:lineRule="auto"/>
        <w:ind w:firstLine="0"/>
        <w:rPr>
          <w:lang w:val="sr-Latn-RS"/>
        </w:rPr>
      </w:pPr>
      <w:r w:rsidRPr="00F26252">
        <w:rPr>
          <w:lang w:val="sr-Latn-RS"/>
        </w:rPr>
        <w:t>gde su</w:t>
      </w:r>
      <w:r w:rsidR="00BB2869">
        <w:rPr>
          <w:lang w:val="sr-Latn-RS"/>
        </w:rPr>
        <w:t>,</w:t>
      </w:r>
    </w:p>
    <w:p w14:paraId="69C75DAE" w14:textId="77777777" w:rsidR="00F26252" w:rsidRPr="00F26252" w:rsidRDefault="00F312A2" w:rsidP="00F26252">
      <w:pPr>
        <w:pStyle w:val="Paragraf"/>
        <w:spacing w:after="0" w:line="276" w:lineRule="auto"/>
        <w:ind w:firstLine="0"/>
        <w:rPr>
          <w:iCs/>
          <w:color w:val="000000" w:themeColor="text1"/>
          <w:lang w:val="sr-Latn-R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ε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min</m:t>
            </m:r>
          </m:sub>
        </m:sSub>
      </m:oMath>
      <w:r w:rsidR="00F26252" w:rsidRPr="00F26252">
        <w:rPr>
          <w:i/>
          <w:iCs/>
          <w:color w:val="000000" w:themeColor="text1"/>
          <w:lang w:val="sr-Latn-RS"/>
        </w:rPr>
        <w:t xml:space="preserve"> – </w:t>
      </w:r>
      <w:r w:rsidR="00F26252" w:rsidRPr="00F26252">
        <w:rPr>
          <w:iCs/>
          <w:color w:val="000000" w:themeColor="text1"/>
          <w:lang w:val="sr-Latn-RS"/>
        </w:rPr>
        <w:t>relativna permitivnost izolacije,</w:t>
      </w:r>
    </w:p>
    <w:p w14:paraId="2061C723" w14:textId="3FC25903" w:rsidR="00F26252" w:rsidRPr="00F26252" w:rsidRDefault="00F312A2" w:rsidP="00F26252">
      <w:pPr>
        <w:pStyle w:val="Paragraf"/>
        <w:spacing w:after="0" w:line="276" w:lineRule="auto"/>
        <w:ind w:firstLine="0"/>
        <w:rPr>
          <w:iCs/>
          <w:color w:val="000000" w:themeColor="text1"/>
          <w:lang w:val="sr-Latn-R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max</m:t>
            </m:r>
          </m:sub>
        </m:sSub>
        <m:r>
          <w:rPr>
            <w:rFonts w:ascii="Cambria Math" w:hAnsi="Cambria Math"/>
            <w:color w:val="000000" w:themeColor="text1"/>
            <w:lang w:val="sr-Latn-RS"/>
          </w:rPr>
          <m:t>=3∙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ε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min</m:t>
            </m:r>
          </m:sub>
        </m:sSub>
      </m:oMath>
      <w:r w:rsidR="00F26252" w:rsidRPr="00F26252">
        <w:rPr>
          <w:iCs/>
          <w:color w:val="000000" w:themeColor="text1"/>
          <w:lang w:val="sr-Latn-RS"/>
        </w:rPr>
        <w:t>,</w:t>
      </w:r>
    </w:p>
    <w:p w14:paraId="622144E8" w14:textId="1DDDA048" w:rsidR="00F26252" w:rsidRPr="00F26252" w:rsidRDefault="00F312A2" w:rsidP="00F26252">
      <w:pPr>
        <w:pStyle w:val="Paragraf"/>
        <w:spacing w:after="0" w:line="276" w:lineRule="auto"/>
        <w:ind w:firstLine="0"/>
        <w:rPr>
          <w:color w:val="000000" w:themeColor="text1"/>
          <w:lang w:val="sr-Latn-RS"/>
        </w:rPr>
      </w:pP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σ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min</m:t>
            </m:r>
          </m:sub>
        </m:sSub>
      </m:oMath>
      <w:r w:rsidR="00F26252" w:rsidRPr="00F26252">
        <w:rPr>
          <w:color w:val="000000" w:themeColor="text1"/>
          <w:lang w:val="sr-Cyrl-RS"/>
        </w:rPr>
        <w:t xml:space="preserve"> – </w:t>
      </w:r>
      <w:r w:rsidR="00F26252" w:rsidRPr="00F26252">
        <w:rPr>
          <w:color w:val="000000" w:themeColor="text1"/>
          <w:lang w:val="sr-Latn-RS"/>
        </w:rPr>
        <w:t>specifična provodnost izolacije,</w:t>
      </w:r>
    </w:p>
    <w:p w14:paraId="315D6527" w14:textId="5A5ABBFA" w:rsidR="00F26252" w:rsidRPr="00F26252" w:rsidRDefault="00F312A2" w:rsidP="00F26252">
      <w:pPr>
        <w:pStyle w:val="Paragraf"/>
        <w:spacing w:after="0" w:line="276" w:lineRule="auto"/>
        <w:ind w:firstLine="0"/>
        <w:rPr>
          <w:iCs/>
          <w:color w:val="000000" w:themeColor="text1"/>
          <w:lang w:val="sr-Latn-RS"/>
        </w:rPr>
      </w:pPr>
      <m:oMath>
        <m:sSub>
          <m:sSubPr>
            <m:ctrlPr>
              <w:rPr>
                <w:rFonts w:ascii="Cambria Math" w:eastAsiaTheme="minorEastAsia" w:hAnsi="Cambria Math"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σ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max</m:t>
            </m:r>
          </m:sub>
        </m:sSub>
        <m:r>
          <w:rPr>
            <w:rFonts w:ascii="Cambria Math" w:eastAsiaTheme="minorEastAsia" w:hAnsi="Cambria Math"/>
            <w:color w:val="000000" w:themeColor="text1"/>
            <w:lang w:val="sr-Latn-R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lang w:val="sr-Latn-RS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10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10</m:t>
            </m:r>
          </m:sup>
        </m:sSup>
        <m:r>
          <w:rPr>
            <w:rFonts w:ascii="Cambria Math" w:eastAsiaTheme="minorEastAsia" w:hAnsi="Cambria Math"/>
            <w:color w:val="000000" w:themeColor="text1"/>
            <w:lang w:val="sr-Latn-RS"/>
          </w:rPr>
          <m:t>∙</m:t>
        </m:r>
        <m:sSub>
          <m:sSubPr>
            <m:ctrlPr>
              <w:rPr>
                <w:rFonts w:ascii="Cambria Math" w:eastAsiaTheme="minorEastAsia" w:hAnsi="Cambria Math"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σ</m:t>
            </m:r>
          </m:e>
          <m:sub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min</m:t>
            </m:r>
          </m:sub>
        </m:sSub>
      </m:oMath>
      <w:r w:rsidR="00F26252" w:rsidRPr="00F26252">
        <w:rPr>
          <w:iCs/>
          <w:color w:val="000000" w:themeColor="text1"/>
          <w:lang w:val="sr-Latn-RS"/>
        </w:rPr>
        <w:t>,</w:t>
      </w:r>
    </w:p>
    <w:p w14:paraId="33C52E53" w14:textId="1E6CA1B6" w:rsidR="00854BB9" w:rsidRPr="00F26252" w:rsidRDefault="00F312A2" w:rsidP="00F26252">
      <w:pPr>
        <w:pStyle w:val="Paragraf"/>
        <w:spacing w:line="276" w:lineRule="auto"/>
        <w:ind w:firstLine="0"/>
        <w:rPr>
          <w:iCs/>
          <w:color w:val="000000" w:themeColor="text1"/>
          <w:lang w:val="sr-Latn-R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color w:val="000000" w:themeColor="text1"/>
            <w:lang w:val="sr-Latn-R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iCs/>
                <w:color w:val="000000" w:themeColor="text1"/>
                <w:lang w:val="sr-Latn-RS"/>
              </w:rPr>
            </m:ctrlPr>
          </m:dPr>
          <m:e>
            <m:r>
              <w:rPr>
                <w:rFonts w:ascii="Cambria Math" w:eastAsiaTheme="minorEastAsia" w:hAnsi="Cambria Math"/>
                <w:color w:val="000000" w:themeColor="text1"/>
                <w:lang w:val="sr-Latn-RS"/>
              </w:rPr>
              <m:t>y</m:t>
            </m:r>
          </m:e>
        </m:d>
      </m:oMath>
      <w:r w:rsidR="00F26252" w:rsidRPr="00F26252">
        <w:rPr>
          <w:iCs/>
          <w:color w:val="000000" w:themeColor="text1"/>
          <w:lang w:val="sr-Latn-RS"/>
        </w:rPr>
        <w:t xml:space="preserve"> – </w:t>
      </w:r>
      <w:r w:rsidR="00F26252">
        <w:rPr>
          <w:iCs/>
          <w:color w:val="000000" w:themeColor="text1"/>
          <w:lang w:val="sr-Latn-RS"/>
        </w:rPr>
        <w:t xml:space="preserve">linearne funkcije po </w:t>
      </w:r>
      <w:r w:rsidR="00F26252" w:rsidRPr="005A752E">
        <w:rPr>
          <w:i/>
          <w:iCs/>
          <w:color w:val="000000" w:themeColor="text1"/>
          <w:lang w:val="sr-Latn-RS"/>
        </w:rPr>
        <w:t>x</w:t>
      </w:r>
      <w:r w:rsidR="00F26252" w:rsidRPr="005A752E">
        <w:rPr>
          <w:iCs/>
          <w:color w:val="000000" w:themeColor="text1"/>
          <w:lang w:val="sr-Latn-RS"/>
        </w:rPr>
        <w:t xml:space="preserve"> i </w:t>
      </w:r>
      <w:r w:rsidR="00F26252" w:rsidRPr="00511B9F">
        <w:rPr>
          <w:i/>
          <w:iCs/>
          <w:color w:val="000000" w:themeColor="text1"/>
          <w:lang w:val="sr-Latn-RS"/>
        </w:rPr>
        <w:t>y</w:t>
      </w:r>
      <w:r w:rsidR="00F26252">
        <w:rPr>
          <w:iCs/>
          <w:color w:val="000000" w:themeColor="text1"/>
          <w:lang w:val="sr-Latn-RS"/>
        </w:rPr>
        <w:t xml:space="preserve"> osi.</w:t>
      </w:r>
    </w:p>
    <w:p w14:paraId="1A3AC6E3" w14:textId="0A7B59A1" w:rsidR="00CC1377" w:rsidRDefault="0036140B" w:rsidP="00010D09">
      <w:pPr>
        <w:spacing w:before="6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4</w:t>
      </w:r>
      <w:r w:rsidR="00085977" w:rsidRPr="00E32CBD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. </w:t>
      </w:r>
      <w:r w:rsidR="00085977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REZULTATI</w:t>
      </w:r>
    </w:p>
    <w:p w14:paraId="1A789E9C" w14:textId="4EE2FA4C" w:rsidR="00C30EC1" w:rsidRDefault="00A10343" w:rsidP="005A752E">
      <w:pPr>
        <w:spacing w:before="60" w:after="120"/>
        <w:rPr>
          <w:lang w:val="sr-Latn-RS"/>
        </w:rPr>
      </w:pPr>
      <w:r w:rsidRPr="00DC558F">
        <w:rPr>
          <w:lang w:val="sr-Latn-RS"/>
        </w:rPr>
        <w:t>Na slici 4 je prikazana prostorna raspodela ele</w:t>
      </w:r>
      <w:r w:rsidR="00DC558F">
        <w:rPr>
          <w:lang w:val="sr-Latn-RS"/>
        </w:rPr>
        <w:t xml:space="preserve">ktričnog </w:t>
      </w:r>
      <w:r w:rsidR="00BB2869">
        <w:rPr>
          <w:lang w:val="sr-Latn-RS"/>
        </w:rPr>
        <w:t xml:space="preserve">skalar </w:t>
      </w:r>
      <w:r w:rsidR="00DC558F">
        <w:rPr>
          <w:lang w:val="sr-Latn-RS"/>
        </w:rPr>
        <w:t>potencijala</w:t>
      </w:r>
      <w:r w:rsidR="00F26252">
        <w:rPr>
          <w:lang w:val="sr-Latn-RS"/>
        </w:rPr>
        <w:t xml:space="preserve"> unutar kablovsko</w:t>
      </w:r>
      <w:r w:rsidR="00010D09">
        <w:rPr>
          <w:lang w:val="sr-Latn-RS"/>
        </w:rPr>
        <w:t xml:space="preserve">g voda, na kojoj se jasno vidi izobličenje u okolini vodenog </w:t>
      </w:r>
      <w:r w:rsidR="007857A5">
        <w:rPr>
          <w:lang w:val="sr-Latn-RS"/>
        </w:rPr>
        <w:t>grananja</w:t>
      </w:r>
      <w:r w:rsidR="00EA2548">
        <w:rPr>
          <w:lang w:val="sr-Latn-RS"/>
        </w:rPr>
        <w:t>.</w:t>
      </w:r>
    </w:p>
    <w:p w14:paraId="5DC79F29" w14:textId="77777777" w:rsidR="005A752E" w:rsidRDefault="00A10343" w:rsidP="00511B9F">
      <w:pPr>
        <w:keepNext/>
        <w:spacing w:before="60" w:after="120"/>
        <w:jc w:val="center"/>
      </w:pPr>
      <w:r>
        <w:rPr>
          <w:rFonts w:ascii="Times New Roman" w:eastAsia="Times New Roman" w:hAnsi="Times New Roman" w:cs="Times New Roman"/>
          <w:b/>
          <w:iCs/>
          <w:noProof/>
          <w:szCs w:val="20"/>
          <w:lang w:val="sr-Latn-RS" w:eastAsia="sr-Latn-RS"/>
        </w:rPr>
        <w:drawing>
          <wp:inline distT="0" distB="0" distL="0" distR="0" wp14:anchorId="0ACCFE2D" wp14:editId="434E2BF0">
            <wp:extent cx="2313432" cy="1746504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aspodela električnog potencijal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EA93" w14:textId="49E17250" w:rsidR="005A752E" w:rsidRDefault="005A752E" w:rsidP="005A752E">
      <w:pPr>
        <w:pStyle w:val="Caption"/>
        <w:spacing w:after="120"/>
        <w:jc w:val="center"/>
        <w:rPr>
          <w:i/>
          <w:caps w:val="0"/>
          <w:spacing w:val="0"/>
          <w:szCs w:val="22"/>
          <w:lang w:val="sr-Latn-RS"/>
        </w:rPr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3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="003F60E6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 w:rsidRPr="005A752E">
        <w:rPr>
          <w:i/>
          <w:caps w:val="0"/>
          <w:spacing w:val="0"/>
          <w:szCs w:val="22"/>
          <w:lang w:val="sr-Latn-RS"/>
        </w:rPr>
        <w:t xml:space="preserve"> </w:t>
      </w:r>
      <w:r>
        <w:rPr>
          <w:i/>
          <w:caps w:val="0"/>
          <w:spacing w:val="0"/>
          <w:szCs w:val="22"/>
          <w:lang w:val="sr-Latn-RS"/>
        </w:rPr>
        <w:t>Prostorna r</w:t>
      </w:r>
      <w:r w:rsidRPr="00F26252">
        <w:rPr>
          <w:i/>
          <w:caps w:val="0"/>
          <w:spacing w:val="0"/>
          <w:szCs w:val="22"/>
          <w:lang w:val="sr-Latn-RS"/>
        </w:rPr>
        <w:t>aspodela električnog</w:t>
      </w:r>
      <w:r w:rsidR="003F56DA">
        <w:rPr>
          <w:i/>
          <w:caps w:val="0"/>
          <w:spacing w:val="0"/>
          <w:szCs w:val="22"/>
          <w:lang w:val="sr-Latn-RS"/>
        </w:rPr>
        <w:t xml:space="preserve"> skalar</w:t>
      </w:r>
      <w:r w:rsidRPr="00F26252">
        <w:rPr>
          <w:i/>
          <w:caps w:val="0"/>
          <w:spacing w:val="0"/>
          <w:szCs w:val="22"/>
          <w:lang w:val="sr-Latn-RS"/>
        </w:rPr>
        <w:t xml:space="preserve"> potencijala</w:t>
      </w:r>
    </w:p>
    <w:p w14:paraId="2354CDAC" w14:textId="68EB3908" w:rsidR="00593CE1" w:rsidRPr="00841B25" w:rsidRDefault="00593CE1" w:rsidP="00E11FB1">
      <w:pPr>
        <w:spacing w:before="120"/>
        <w:rPr>
          <w:lang w:val="sr-Latn-RS"/>
        </w:rPr>
      </w:pPr>
      <w:r>
        <w:rPr>
          <w:lang w:val="sr-Latn-RS"/>
        </w:rPr>
        <w:t>U svrhu analize promene električnog skalar potencijala u oblasti vodenog grananja</w:t>
      </w:r>
      <w:r w:rsidR="003F60E6">
        <w:rPr>
          <w:lang w:val="sr-Latn-RS"/>
        </w:rPr>
        <w:t>,</w:t>
      </w:r>
      <w:r>
        <w:rPr>
          <w:lang w:val="sr-Latn-RS"/>
        </w:rPr>
        <w:t xml:space="preserve"> posmatrana je njegova promena </w:t>
      </w:r>
      <w:r>
        <w:rPr>
          <w:lang w:val="sr-Latn-RS"/>
        </w:rPr>
        <w:lastRenderedPageBreak/>
        <w:t xml:space="preserve">po </w:t>
      </w:r>
      <w:r w:rsidRPr="00BC1B6C">
        <w:rPr>
          <w:i/>
          <w:lang w:val="sr-Latn-RS"/>
        </w:rPr>
        <w:t>x</w:t>
      </w:r>
      <w:r>
        <w:rPr>
          <w:lang w:val="sr-Latn-RS"/>
        </w:rPr>
        <w:t xml:space="preserve"> osi (slika 5), duž pravca </w:t>
      </w:r>
      <w:r w:rsidRPr="00BC1B6C">
        <w:rPr>
          <w:i/>
          <w:lang w:val="sr-Latn-RS"/>
        </w:rPr>
        <w:t>y</w:t>
      </w:r>
      <w:r>
        <w:rPr>
          <w:i/>
          <w:lang w:val="sr-Latn-RS"/>
        </w:rPr>
        <w:t xml:space="preserve"> </w:t>
      </w:r>
      <w:r>
        <w:rPr>
          <w:lang w:val="sr-Latn-RS"/>
        </w:rPr>
        <w:t>= 0, pri čemu se koordinatni početak nalazi na osi sistema.</w:t>
      </w:r>
    </w:p>
    <w:p w14:paraId="3C97E5BC" w14:textId="77777777" w:rsidR="005A752E" w:rsidRDefault="00C30EC1" w:rsidP="00E11FB1">
      <w:pPr>
        <w:keepNext/>
        <w:spacing w:after="60"/>
        <w:jc w:val="center"/>
      </w:pPr>
      <w:r>
        <w:rPr>
          <w:noProof/>
          <w:lang w:val="sr-Latn-RS" w:eastAsia="sr-Latn-RS"/>
        </w:rPr>
        <w:drawing>
          <wp:inline distT="0" distB="0" distL="0" distR="0" wp14:anchorId="41E6353C" wp14:editId="09269880">
            <wp:extent cx="2159000" cy="1629917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ektrični potencijal po x os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96" cy="16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47C6" w14:textId="45D42977" w:rsidR="00841B25" w:rsidRDefault="005A752E" w:rsidP="005A752E">
      <w:pPr>
        <w:pStyle w:val="Caption"/>
        <w:spacing w:after="120"/>
        <w:jc w:val="center"/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4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 w:rsidRPr="005A752E">
        <w:rPr>
          <w:i/>
          <w:caps w:val="0"/>
          <w:spacing w:val="0"/>
          <w:szCs w:val="22"/>
          <w:lang w:val="sr-Latn-RS"/>
        </w:rPr>
        <w:t xml:space="preserve"> </w:t>
      </w:r>
      <w:r w:rsidRPr="0010207E">
        <w:rPr>
          <w:i/>
          <w:caps w:val="0"/>
          <w:spacing w:val="0"/>
          <w:szCs w:val="22"/>
          <w:lang w:val="sr-Latn-RS"/>
        </w:rPr>
        <w:t>Prom</w:t>
      </w:r>
      <w:r>
        <w:rPr>
          <w:i/>
          <w:caps w:val="0"/>
          <w:spacing w:val="0"/>
          <w:szCs w:val="22"/>
          <w:lang w:val="sr-Latn-RS"/>
        </w:rPr>
        <w:t>ena električnog potencijala po x</w:t>
      </w:r>
      <w:r w:rsidRPr="0010207E">
        <w:rPr>
          <w:i/>
          <w:caps w:val="0"/>
          <w:spacing w:val="0"/>
          <w:szCs w:val="22"/>
          <w:lang w:val="sr-Latn-RS"/>
        </w:rPr>
        <w:t xml:space="preserve"> </w:t>
      </w:r>
      <w:r>
        <w:rPr>
          <w:i/>
          <w:caps w:val="0"/>
          <w:spacing w:val="0"/>
          <w:szCs w:val="22"/>
          <w:lang w:val="sr-Latn-RS"/>
        </w:rPr>
        <w:t>–</w:t>
      </w:r>
      <w:r w:rsidRPr="0010207E">
        <w:rPr>
          <w:i/>
          <w:caps w:val="0"/>
          <w:spacing w:val="0"/>
          <w:szCs w:val="22"/>
          <w:lang w:val="sr-Latn-RS"/>
        </w:rPr>
        <w:t xml:space="preserve"> osi</w:t>
      </w:r>
    </w:p>
    <w:p w14:paraId="2B75DF68" w14:textId="6FE8E68A" w:rsidR="00935C63" w:rsidRDefault="00C006D4" w:rsidP="006F54D4">
      <w:pPr>
        <w:spacing w:after="120"/>
        <w:rPr>
          <w:lang w:val="sr-Latn-RS"/>
        </w:rPr>
      </w:pPr>
      <w:r>
        <w:rPr>
          <w:lang w:val="sr-Latn-RS"/>
        </w:rPr>
        <w:t>Kao što se može videti</w:t>
      </w:r>
      <w:r w:rsidR="00C345C7">
        <w:rPr>
          <w:lang w:val="sr-Latn-RS"/>
        </w:rPr>
        <w:t xml:space="preserve">, unutar provodnih </w:t>
      </w:r>
      <w:r>
        <w:rPr>
          <w:lang w:val="sr-Latn-RS"/>
        </w:rPr>
        <w:t xml:space="preserve"> slojeva električni </w:t>
      </w:r>
      <w:r w:rsidR="003F56DA">
        <w:rPr>
          <w:lang w:val="sr-Latn-RS"/>
        </w:rPr>
        <w:t xml:space="preserve">skalar </w:t>
      </w:r>
      <w:r>
        <w:rPr>
          <w:lang w:val="sr-Latn-RS"/>
        </w:rPr>
        <w:t>pote</w:t>
      </w:r>
      <w:r w:rsidR="00C345C7">
        <w:rPr>
          <w:lang w:val="sr-Latn-RS"/>
        </w:rPr>
        <w:t xml:space="preserve">ncijal ima konstantnu vrednost. Očekivano, najveća vrednost električnog </w:t>
      </w:r>
      <w:r w:rsidR="00BB2869">
        <w:rPr>
          <w:lang w:val="sr-Latn-RS"/>
        </w:rPr>
        <w:t xml:space="preserve">skalar </w:t>
      </w:r>
      <w:r w:rsidR="00C345C7">
        <w:rPr>
          <w:lang w:val="sr-Latn-RS"/>
        </w:rPr>
        <w:t xml:space="preserve">potencijala je unutar provodnika i ona iznosi </w:t>
      </w:r>
      <w:r w:rsidR="00C345C7" w:rsidRPr="003F60E6">
        <w:rPr>
          <w:i/>
          <w:lang w:val="sr-Latn-RS"/>
        </w:rPr>
        <w:t>V</w:t>
      </w:r>
      <w:r w:rsidR="00C345C7">
        <w:rPr>
          <w:vertAlign w:val="subscript"/>
          <w:lang w:val="sr-Latn-RS"/>
        </w:rPr>
        <w:t>max</w:t>
      </w:r>
      <w:r w:rsidR="00C345C7" w:rsidRPr="00C345C7">
        <w:rPr>
          <w:lang w:val="sr-Latn-RS"/>
        </w:rPr>
        <w:t xml:space="preserve"> = 89</w:t>
      </w:r>
      <w:r w:rsidR="008A35B4">
        <w:rPr>
          <w:lang w:val="sr-Latn-RS"/>
        </w:rPr>
        <w:t>,</w:t>
      </w:r>
      <w:r w:rsidR="00621D9D">
        <w:rPr>
          <w:lang w:val="sr-Latn-RS"/>
        </w:rPr>
        <w:t>8</w:t>
      </w:r>
      <w:r w:rsidR="00C345C7" w:rsidRPr="00C345C7">
        <w:rPr>
          <w:lang w:val="sr-Latn-RS"/>
        </w:rPr>
        <w:t xml:space="preserve"> kV</w:t>
      </w:r>
      <w:r w:rsidR="00852531">
        <w:rPr>
          <w:lang w:val="sr-Latn-RS"/>
        </w:rPr>
        <w:t>. Sa slike 5 se vidi da je</w:t>
      </w:r>
      <w:r w:rsidR="00BB2869">
        <w:rPr>
          <w:lang w:val="sr-Latn-RS"/>
        </w:rPr>
        <w:t>,</w:t>
      </w:r>
      <w:r w:rsidR="00852531">
        <w:rPr>
          <w:lang w:val="sr-Latn-RS"/>
        </w:rPr>
        <w:t xml:space="preserve"> </w:t>
      </w:r>
      <w:r w:rsidR="00583F27">
        <w:rPr>
          <w:lang w:val="sr-Latn-RS"/>
        </w:rPr>
        <w:t xml:space="preserve">unutar regije vodenog </w:t>
      </w:r>
      <w:r w:rsidR="00802F61">
        <w:rPr>
          <w:lang w:val="sr-Latn-RS"/>
        </w:rPr>
        <w:t>grananja</w:t>
      </w:r>
      <w:r w:rsidR="00621D9D">
        <w:rPr>
          <w:lang w:val="sr-Latn-RS"/>
        </w:rPr>
        <w:t xml:space="preserve"> (za </w:t>
      </w:r>
      <m:oMath>
        <m:r>
          <w:rPr>
            <w:rFonts w:ascii="Cambria Math" w:hAnsi="Cambria Math"/>
            <w:lang w:val="sr-Latn-RS"/>
          </w:rPr>
          <m:t xml:space="preserve">y=0 </m:t>
        </m:r>
        <m:nary>
          <m:naryPr>
            <m:chr m:val="⋀"/>
            <m:subHide m:val="1"/>
            <m:supHide m:val="1"/>
            <m:ctrlPr>
              <w:rPr>
                <w:rFonts w:ascii="Cambria Math" w:hAnsi="Cambria Math"/>
                <w:i/>
                <w:lang w:val="sr-Latn-RS"/>
              </w:rPr>
            </m:ctrlPr>
          </m:naryPr>
          <m:sub/>
          <m:sup/>
          <m:e>
            <m:r>
              <w:rPr>
                <w:rFonts w:ascii="Cambria Math" w:hAnsi="Cambria Math"/>
                <w:lang w:val="sr-Latn-RS"/>
              </w:rPr>
              <m:t xml:space="preserve"> ∀x∈[</m:t>
            </m:r>
            <m:sSub>
              <m:sSubPr>
                <m:ctrlPr>
                  <w:rPr>
                    <w:rFonts w:ascii="Cambria Math" w:hAnsi="Cambria Math"/>
                    <w:i/>
                    <w:lang w:val="sr-Latn-RS"/>
                  </w:rPr>
                </m:ctrlPr>
              </m:sSubPr>
              <m:e>
                <m:r>
                  <w:rPr>
                    <w:rFonts w:ascii="Cambria Math" w:hAnsi="Cambria Math"/>
                    <w:lang w:val="sr-Latn-R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RS"/>
                  </w:rPr>
                  <m:t>1</m:t>
                </m:r>
              </m:sub>
            </m:sSub>
            <m:r>
              <w:rPr>
                <w:rFonts w:ascii="Cambria Math" w:hAnsi="Cambria Math"/>
                <w:lang w:val="sr-Latn-R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sr-Latn-RS"/>
                  </w:rPr>
                </m:ctrlPr>
              </m:sSubPr>
              <m:e>
                <m:r>
                  <w:rPr>
                    <w:rFonts w:ascii="Cambria Math" w:hAnsi="Cambria Math"/>
                    <w:lang w:val="sr-Latn-R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sr-Latn-RS"/>
                  </w:rPr>
                  <m:t>2</m:t>
                </m:r>
              </m:sub>
            </m:sSub>
            <m:r>
              <w:rPr>
                <w:rFonts w:ascii="Cambria Math" w:hAnsi="Cambria Math"/>
                <w:lang w:val="sr-Latn-RS"/>
              </w:rPr>
              <m:t>]</m:t>
            </m:r>
          </m:e>
        </m:nary>
      </m:oMath>
      <w:r w:rsidR="00297FA4">
        <w:rPr>
          <w:lang w:val="sr-Latn-RS"/>
        </w:rPr>
        <w:t xml:space="preserve">, gde su </w:t>
      </w:r>
      <m:oMath>
        <m:sSub>
          <m:sSubPr>
            <m:ctrlPr>
              <w:rPr>
                <w:rFonts w:ascii="Cambria Math" w:hAnsi="Cambria Math"/>
                <w:i/>
                <w:lang w:val="sr-Latn-RS"/>
              </w:rPr>
            </m:ctrlPr>
          </m:sSubPr>
          <m:e>
            <m:r>
              <w:rPr>
                <w:rFonts w:ascii="Cambria Math" w:hAnsi="Cambria Math"/>
                <w:lang w:val="sr-Latn-RS"/>
              </w:rPr>
              <m:t>x</m:t>
            </m:r>
          </m:e>
          <m:sub>
            <m:r>
              <w:rPr>
                <w:rFonts w:ascii="Cambria Math" w:hAnsi="Cambria Math"/>
                <w:lang w:val="sr-Latn-RS"/>
              </w:rPr>
              <m:t>1</m:t>
            </m:r>
          </m:sub>
        </m:sSub>
        <m:r>
          <w:rPr>
            <w:rFonts w:ascii="Cambria Math" w:hAnsi="Cambria Math"/>
            <w:lang w:val="sr-Latn-RS"/>
          </w:rPr>
          <m:t xml:space="preserve">=0,02985 </m:t>
        </m:r>
        <m:r>
          <m:rPr>
            <m:sty m:val="p"/>
          </m:rPr>
          <w:rPr>
            <w:rFonts w:ascii="Cambria Math" w:hAnsi="Cambria Math"/>
            <w:lang w:val="sr-Latn-RS"/>
          </w:rPr>
          <m:t>m</m:t>
        </m:r>
      </m:oMath>
      <w:r w:rsidR="00B05BA8">
        <w:rPr>
          <w:lang w:val="sr-Latn-RS"/>
        </w:rPr>
        <w:t xml:space="preserve"> </w:t>
      </w:r>
      <w:r w:rsidR="00297FA4">
        <w:rPr>
          <w:lang w:val="sr-Latn-RS"/>
        </w:rPr>
        <w:t xml:space="preserve">i </w:t>
      </w:r>
      <m:oMath>
        <m:sSub>
          <m:sSubPr>
            <m:ctrlPr>
              <w:rPr>
                <w:rFonts w:ascii="Cambria Math" w:hAnsi="Cambria Math"/>
                <w:i/>
                <w:lang w:val="sr-Latn-RS"/>
              </w:rPr>
            </m:ctrlPr>
          </m:sSubPr>
          <m:e>
            <m:r>
              <w:rPr>
                <w:rFonts w:ascii="Cambria Math" w:hAnsi="Cambria Math"/>
                <w:lang w:val="sr-Latn-RS"/>
              </w:rPr>
              <m:t>x</m:t>
            </m:r>
          </m:e>
          <m:sub>
            <m:r>
              <w:rPr>
                <w:rFonts w:ascii="Cambria Math" w:hAnsi="Cambria Math"/>
                <w:lang w:val="sr-Latn-RS"/>
              </w:rPr>
              <m:t>2</m:t>
            </m:r>
          </m:sub>
        </m:sSub>
        <m:r>
          <w:rPr>
            <w:rFonts w:ascii="Cambria Math" w:hAnsi="Cambria Math"/>
            <w:lang w:val="sr-Latn-RS"/>
          </w:rPr>
          <m:t xml:space="preserve">=0,03745 </m:t>
        </m:r>
        <m:r>
          <m:rPr>
            <m:sty m:val="p"/>
          </m:rPr>
          <w:rPr>
            <w:rFonts w:ascii="Cambria Math" w:hAnsi="Cambria Math"/>
            <w:lang w:val="sr-Latn-RS"/>
          </w:rPr>
          <m:t>m</m:t>
        </m:r>
        <m:r>
          <w:rPr>
            <w:rFonts w:ascii="Cambria Math" w:hAnsi="Cambria Math"/>
            <w:lang w:val="sr-Latn-RS"/>
          </w:rPr>
          <m:t>)</m:t>
        </m:r>
      </m:oMath>
      <w:r w:rsidR="00297FA4">
        <w:rPr>
          <w:lang w:val="sr-Latn-RS"/>
        </w:rPr>
        <w:t xml:space="preserve"> </w:t>
      </w:r>
      <w:r w:rsidR="00583F27">
        <w:rPr>
          <w:lang w:val="sr-Latn-RS"/>
        </w:rPr>
        <w:t xml:space="preserve">električni </w:t>
      </w:r>
      <w:r w:rsidR="00BB2869">
        <w:rPr>
          <w:lang w:val="sr-Latn-RS"/>
        </w:rPr>
        <w:t xml:space="preserve">skalar </w:t>
      </w:r>
      <w:r w:rsidR="00583F27">
        <w:rPr>
          <w:lang w:val="sr-Latn-RS"/>
        </w:rPr>
        <w:t xml:space="preserve">potencijal </w:t>
      </w:r>
      <w:r w:rsidR="006F54D4">
        <w:rPr>
          <w:lang w:val="sr-Latn-RS"/>
        </w:rPr>
        <w:t xml:space="preserve">približno </w:t>
      </w:r>
      <w:r w:rsidR="00583F27">
        <w:rPr>
          <w:lang w:val="sr-Latn-RS"/>
        </w:rPr>
        <w:t xml:space="preserve">jednak nuli. </w:t>
      </w:r>
      <w:r w:rsidR="00FD4AFA" w:rsidRPr="00290192">
        <w:rPr>
          <w:lang w:val="sr-Latn-RS"/>
        </w:rPr>
        <w:t xml:space="preserve">Ovo je posledica povećane </w:t>
      </w:r>
      <w:r w:rsidR="00935C63" w:rsidRPr="001E6955">
        <w:rPr>
          <w:lang w:val="sr-Latn-RS"/>
        </w:rPr>
        <w:t>specifične prov</w:t>
      </w:r>
      <w:r w:rsidR="006F54D4" w:rsidRPr="001E6955">
        <w:rPr>
          <w:lang w:val="sr-Latn-RS"/>
        </w:rPr>
        <w:t xml:space="preserve">odnosti regije vodenog </w:t>
      </w:r>
      <w:r w:rsidR="001C16A8" w:rsidRPr="001E6955">
        <w:rPr>
          <w:lang w:val="sr-Latn-RS"/>
        </w:rPr>
        <w:t>grananja</w:t>
      </w:r>
      <w:r w:rsidR="006F54D4" w:rsidRPr="001E6955">
        <w:rPr>
          <w:lang w:val="sr-Latn-RS"/>
        </w:rPr>
        <w:t xml:space="preserve">, </w:t>
      </w:r>
      <w:r w:rsidR="006F54D4" w:rsidRPr="002746BD">
        <w:rPr>
          <w:lang w:val="sr-Latn-RS"/>
        </w:rPr>
        <w:t xml:space="preserve">prikazane na slici </w:t>
      </w:r>
      <w:r w:rsidR="001C16A8" w:rsidRPr="002746BD">
        <w:rPr>
          <w:lang w:val="sr-Latn-RS"/>
        </w:rPr>
        <w:t>6</w:t>
      </w:r>
      <w:r w:rsidR="006F54D4" w:rsidRPr="002746BD">
        <w:rPr>
          <w:lang w:val="sr-Latn-RS"/>
        </w:rPr>
        <w:t xml:space="preserve">, kao </w:t>
      </w:r>
      <w:r w:rsidR="00935C63" w:rsidRPr="002746BD">
        <w:rPr>
          <w:lang w:val="sr-Latn-RS"/>
        </w:rPr>
        <w:t>i njenog kontakta sa električnom zaštitom koja se nalazi na nultom potencijalu.</w:t>
      </w:r>
      <w:r w:rsidR="006F54D4">
        <w:rPr>
          <w:lang w:val="sr-Latn-RS"/>
        </w:rPr>
        <w:t xml:space="preserve"> </w:t>
      </w:r>
    </w:p>
    <w:p w14:paraId="2317F742" w14:textId="77777777" w:rsidR="005A752E" w:rsidRDefault="006F54D4" w:rsidP="00042AD7">
      <w:pPr>
        <w:keepNext/>
        <w:jc w:val="center"/>
      </w:pPr>
      <w:r>
        <w:rPr>
          <w:noProof/>
          <w:lang w:val="sr-Latn-RS" w:eastAsia="sr-Latn-RS"/>
        </w:rPr>
        <w:drawing>
          <wp:inline distT="0" distB="0" distL="0" distR="0" wp14:anchorId="4E40B7ED" wp14:editId="46945358">
            <wp:extent cx="2313432" cy="1746504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aspodela specifične provodnosti - pukotina 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867EC" w14:textId="3402B43B" w:rsidR="006F54D4" w:rsidRDefault="005A752E" w:rsidP="005A752E">
      <w:pPr>
        <w:pStyle w:val="Caption"/>
        <w:jc w:val="center"/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5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 w:rsidRPr="005A752E">
        <w:rPr>
          <w:i/>
          <w:caps w:val="0"/>
          <w:spacing w:val="0"/>
          <w:szCs w:val="22"/>
          <w:lang w:val="sr-Latn-RS"/>
        </w:rPr>
        <w:t xml:space="preserve"> </w:t>
      </w:r>
      <w:r w:rsidRPr="006F54D4">
        <w:rPr>
          <w:i/>
          <w:caps w:val="0"/>
          <w:spacing w:val="0"/>
          <w:szCs w:val="22"/>
          <w:lang w:val="sr-Latn-RS"/>
        </w:rPr>
        <w:t xml:space="preserve">Prostorna raspodela specifične provodnosti regije vodenog </w:t>
      </w:r>
      <w:r w:rsidR="00D76842">
        <w:rPr>
          <w:i/>
          <w:caps w:val="0"/>
          <w:spacing w:val="0"/>
          <w:szCs w:val="22"/>
          <w:lang w:val="sr-Latn-RS"/>
        </w:rPr>
        <w:t>grananja</w:t>
      </w:r>
    </w:p>
    <w:p w14:paraId="0AE1FB76" w14:textId="5EE6B517" w:rsidR="00C30EC1" w:rsidRPr="00935C63" w:rsidRDefault="006F54D4" w:rsidP="00935C63">
      <w:pPr>
        <w:spacing w:before="60" w:after="120"/>
        <w:rPr>
          <w:lang w:val="sr-Latn-RS"/>
        </w:rPr>
      </w:pPr>
      <w:r>
        <w:rPr>
          <w:lang w:val="sr-Latn-RS"/>
        </w:rPr>
        <w:t xml:space="preserve">Na slici </w:t>
      </w:r>
      <w:r w:rsidR="001C16A8">
        <w:rPr>
          <w:lang w:val="sr-Latn-RS"/>
        </w:rPr>
        <w:t>7</w:t>
      </w:r>
      <w:r w:rsidR="00935C63">
        <w:rPr>
          <w:lang w:val="sr-Latn-RS"/>
        </w:rPr>
        <w:t xml:space="preserve"> je pri</w:t>
      </w:r>
      <w:r w:rsidR="009331F9">
        <w:rPr>
          <w:lang w:val="sr-Latn-RS"/>
        </w:rPr>
        <w:t>kazana prostorna raspodela elek</w:t>
      </w:r>
      <w:r w:rsidR="00935C63">
        <w:rPr>
          <w:lang w:val="sr-Latn-RS"/>
        </w:rPr>
        <w:t>tričnog polja</w:t>
      </w:r>
      <w:r w:rsidR="00575FAC">
        <w:rPr>
          <w:lang w:val="sr-Latn-RS"/>
        </w:rPr>
        <w:t>, sa koje se može videti da linije</w:t>
      </w:r>
      <w:r w:rsidR="000E126F">
        <w:rPr>
          <w:lang w:val="sr-Latn-RS"/>
        </w:rPr>
        <w:t xml:space="preserve"> vektora jačine</w:t>
      </w:r>
      <w:r w:rsidR="00575FAC">
        <w:rPr>
          <w:lang w:val="sr-Latn-RS"/>
        </w:rPr>
        <w:t xml:space="preserve"> električnog polja skreću</w:t>
      </w:r>
      <w:r w:rsidR="00E2342C">
        <w:rPr>
          <w:lang w:val="sr-Latn-RS"/>
        </w:rPr>
        <w:t xml:space="preserve"> pod pravim uglom</w:t>
      </w:r>
      <w:r w:rsidR="00575FAC">
        <w:rPr>
          <w:lang w:val="sr-Latn-RS"/>
        </w:rPr>
        <w:t xml:space="preserve"> ka</w:t>
      </w:r>
      <w:r w:rsidR="000E126F">
        <w:rPr>
          <w:lang w:val="sr-Latn-RS"/>
        </w:rPr>
        <w:t xml:space="preserve"> oblasti vodenog </w:t>
      </w:r>
      <w:r w:rsidR="00EA2548">
        <w:rPr>
          <w:lang w:val="sr-Latn-RS"/>
        </w:rPr>
        <w:t>grananja</w:t>
      </w:r>
      <w:r w:rsidR="001C16A8">
        <w:rPr>
          <w:lang w:val="sr-Latn-RS"/>
        </w:rPr>
        <w:t xml:space="preserve"> usled njene</w:t>
      </w:r>
      <w:r w:rsidR="001E6955">
        <w:rPr>
          <w:lang w:val="sr-Latn-RS"/>
        </w:rPr>
        <w:t xml:space="preserve"> povećane</w:t>
      </w:r>
      <w:r w:rsidR="001C16A8">
        <w:rPr>
          <w:lang w:val="sr-Latn-RS"/>
        </w:rPr>
        <w:t xml:space="preserve"> specifične provodnosti u odnosu na izolaciju.</w:t>
      </w:r>
    </w:p>
    <w:p w14:paraId="5E67F7AF" w14:textId="70E98D6D" w:rsidR="005A752E" w:rsidRDefault="00987C34" w:rsidP="005A752E">
      <w:pPr>
        <w:keepNext/>
        <w:jc w:val="center"/>
      </w:pPr>
      <w:r>
        <w:rPr>
          <w:noProof/>
          <w:lang w:val="sr-Latn-RS" w:eastAsia="sr-Latn-RS"/>
        </w:rPr>
        <w:drawing>
          <wp:inline distT="0" distB="0" distL="0" distR="0" wp14:anchorId="18FC37FE" wp14:editId="5266AC39">
            <wp:extent cx="2315712" cy="1745405"/>
            <wp:effectExtent l="0" t="0" r="889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spodela električnog polja - pukotina 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712" cy="17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07CCD" w14:textId="7B5C764C" w:rsidR="00935C63" w:rsidRDefault="005A752E" w:rsidP="005A752E">
      <w:pPr>
        <w:pStyle w:val="Caption"/>
        <w:spacing w:after="120"/>
        <w:jc w:val="center"/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6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>
        <w:t xml:space="preserve"> </w:t>
      </w:r>
      <w:r w:rsidRPr="00935C63">
        <w:rPr>
          <w:i/>
          <w:caps w:val="0"/>
          <w:spacing w:val="0"/>
          <w:szCs w:val="22"/>
          <w:lang w:val="sr-Latn-RS"/>
        </w:rPr>
        <w:t>Prostorna raspodela električnog polja</w:t>
      </w:r>
      <w:r w:rsidR="00D76842">
        <w:rPr>
          <w:i/>
          <w:caps w:val="0"/>
          <w:spacing w:val="0"/>
          <w:szCs w:val="22"/>
          <w:lang w:val="sr-Latn-RS"/>
        </w:rPr>
        <w:t xml:space="preserve"> u okolini vodenog grananja</w:t>
      </w:r>
    </w:p>
    <w:p w14:paraId="4E35B404" w14:textId="0D6DEA70" w:rsidR="00987C34" w:rsidRPr="00932B56" w:rsidRDefault="00E50D9B" w:rsidP="00932B56">
      <w:pPr>
        <w:spacing w:after="120"/>
        <w:rPr>
          <w:lang w:val="sr-Latn-RS"/>
        </w:rPr>
      </w:pPr>
      <w:r>
        <w:rPr>
          <w:lang w:val="sr-Latn-RS"/>
        </w:rPr>
        <w:t xml:space="preserve">Promena inteziteta vektora jačine električnog po </w:t>
      </w:r>
      <w:r w:rsidRPr="001870A2">
        <w:rPr>
          <w:i/>
          <w:lang w:val="sr-Latn-RS"/>
        </w:rPr>
        <w:t>y</w:t>
      </w:r>
      <w:r w:rsidR="008418C9">
        <w:rPr>
          <w:lang w:val="sr-Latn-RS"/>
        </w:rPr>
        <w:t> – </w:t>
      </w:r>
      <w:r>
        <w:rPr>
          <w:lang w:val="sr-Latn-RS"/>
        </w:rPr>
        <w:t xml:space="preserve">osi je prikazana na slici </w:t>
      </w:r>
      <w:r w:rsidR="005D5AA0">
        <w:rPr>
          <w:lang w:val="sr-Latn-RS"/>
        </w:rPr>
        <w:t>8</w:t>
      </w:r>
      <w:r>
        <w:rPr>
          <w:lang w:val="sr-Latn-RS"/>
        </w:rPr>
        <w:t xml:space="preserve"> i njom je </w:t>
      </w:r>
      <w:r w:rsidR="009E57C9">
        <w:rPr>
          <w:lang w:val="sr-Latn-RS"/>
        </w:rPr>
        <w:t>predstavljena</w:t>
      </w:r>
      <w:r>
        <w:rPr>
          <w:lang w:val="sr-Latn-RS"/>
        </w:rPr>
        <w:t xml:space="preserve"> situacija bez </w:t>
      </w:r>
      <w:r>
        <w:rPr>
          <w:lang w:val="sr-Latn-RS"/>
        </w:rPr>
        <w:lastRenderedPageBreak/>
        <w:t xml:space="preserve">nepravilnosti u izolaciji. </w:t>
      </w:r>
      <w:r w:rsidR="00E2342C">
        <w:rPr>
          <w:lang w:val="sr-Latn-RS"/>
        </w:rPr>
        <w:t xml:space="preserve">Kao što je očekivano, intezitet vektora jačine električnog polja unutar provodnih slojeva je približno jednak nuli. </w:t>
      </w:r>
      <w:r w:rsidR="001E6955">
        <w:rPr>
          <w:lang w:val="sr-Latn-RS"/>
        </w:rPr>
        <w:t>U izolatorskim slojevima, p</w:t>
      </w:r>
      <w:r w:rsidR="00E2342C" w:rsidRPr="00F21F92">
        <w:rPr>
          <w:lang w:val="sr-Latn-RS"/>
        </w:rPr>
        <w:t xml:space="preserve">romena jačine električnog polja je obrnuto srazmerna </w:t>
      </w:r>
      <w:r w:rsidR="001E6955">
        <w:rPr>
          <w:lang w:val="sr-Latn-RS"/>
        </w:rPr>
        <w:t>rastojanju</w:t>
      </w:r>
      <w:r w:rsidR="001E6955">
        <w:rPr>
          <w:i/>
          <w:lang w:val="sr-Latn-RS"/>
        </w:rPr>
        <w:t xml:space="preserve"> </w:t>
      </w:r>
      <w:r w:rsidR="001E6955" w:rsidRPr="00BC1B6C">
        <w:rPr>
          <w:lang w:val="sr-Latn-RS"/>
        </w:rPr>
        <w:t>od ose sistema</w:t>
      </w:r>
      <w:r w:rsidR="00E2342C" w:rsidRPr="00F21F92">
        <w:rPr>
          <w:lang w:val="sr-Latn-RS"/>
        </w:rPr>
        <w:t xml:space="preserve">, pri čemu je </w:t>
      </w:r>
      <w:r w:rsidR="00BB2869">
        <w:rPr>
          <w:lang w:val="sr-Latn-RS"/>
        </w:rPr>
        <w:t>intenzitet vekt</w:t>
      </w:r>
      <w:r w:rsidR="006D0B49">
        <w:rPr>
          <w:lang w:val="sr-Latn-RS"/>
        </w:rPr>
        <w:t xml:space="preserve">ora jačine električnog </w:t>
      </w:r>
      <w:r w:rsidR="00E2342C" w:rsidRPr="00F21F92">
        <w:rPr>
          <w:lang w:val="sr-Latn-RS"/>
        </w:rPr>
        <w:t>polj</w:t>
      </w:r>
      <w:r w:rsidR="006D0B49">
        <w:rPr>
          <w:lang w:val="sr-Latn-RS"/>
        </w:rPr>
        <w:t>a</w:t>
      </w:r>
      <w:r w:rsidR="00E2342C" w:rsidRPr="00F21F92">
        <w:rPr>
          <w:lang w:val="sr-Latn-RS"/>
        </w:rPr>
        <w:t xml:space="preserve"> naj</w:t>
      </w:r>
      <w:r w:rsidR="006D0B49">
        <w:rPr>
          <w:lang w:val="sr-Latn-RS"/>
        </w:rPr>
        <w:t>veći</w:t>
      </w:r>
      <w:r w:rsidR="00E2342C" w:rsidRPr="00F21F92">
        <w:rPr>
          <w:lang w:val="sr-Latn-RS"/>
        </w:rPr>
        <w:t xml:space="preserve"> na unutrašnjem sloju izolacije</w:t>
      </w:r>
      <w:r w:rsidR="001E6955">
        <w:rPr>
          <w:lang w:val="sr-Latn-RS"/>
        </w:rPr>
        <w:t xml:space="preserve"> uz provodnik</w:t>
      </w:r>
      <w:r w:rsidR="00E2342C" w:rsidRPr="00F21F92">
        <w:rPr>
          <w:lang w:val="sr-Latn-RS"/>
        </w:rPr>
        <w:t>, a najmanj</w:t>
      </w:r>
      <w:r w:rsidR="006D0B49">
        <w:rPr>
          <w:lang w:val="sr-Latn-RS"/>
        </w:rPr>
        <w:t>i</w:t>
      </w:r>
      <w:r w:rsidR="00E2342C" w:rsidRPr="00F21F92">
        <w:rPr>
          <w:lang w:val="sr-Latn-RS"/>
        </w:rPr>
        <w:t xml:space="preserve"> na spoljašnjem sloju.</w:t>
      </w:r>
      <w:r w:rsidR="00E2342C">
        <w:rPr>
          <w:lang w:val="sr-Latn-RS"/>
        </w:rPr>
        <w:t xml:space="preserve"> U neposrednoj blizini provodnika</w:t>
      </w:r>
      <w:r w:rsidR="001E6955">
        <w:rPr>
          <w:lang w:val="sr-Latn-RS"/>
        </w:rPr>
        <w:t>,</w:t>
      </w:r>
      <w:r w:rsidR="00E2342C">
        <w:rPr>
          <w:lang w:val="sr-Latn-RS"/>
        </w:rPr>
        <w:t xml:space="preserve"> intezitet vektora jačine električnog polja </w:t>
      </w:r>
      <w:r w:rsidR="001E6955">
        <w:rPr>
          <w:lang w:val="sr-Latn-RS"/>
        </w:rPr>
        <w:t>se skokovito menja</w:t>
      </w:r>
      <w:r w:rsidR="00E2342C">
        <w:rPr>
          <w:lang w:val="sr-Latn-RS"/>
        </w:rPr>
        <w:t xml:space="preserve"> i dostiže maksimalnu vrednost</w:t>
      </w:r>
      <w:r w:rsidR="00A602A8">
        <w:rPr>
          <w:lang w:val="sr-Latn-RS"/>
        </w:rPr>
        <w:t>,</w:t>
      </w:r>
      <w:r w:rsidR="00E2342C">
        <w:rPr>
          <w:lang w:val="sr-Latn-RS"/>
        </w:rPr>
        <w:t xml:space="preserve"> koja </w:t>
      </w:r>
      <w:r w:rsidR="00E2342C" w:rsidRPr="001B26B3">
        <w:rPr>
          <w:lang w:val="sr-Latn-RS"/>
        </w:rPr>
        <w:t xml:space="preserve">iznosi </w:t>
      </w:r>
      <w:r w:rsidR="00E2342C" w:rsidRPr="003F60E6">
        <w:rPr>
          <w:i/>
          <w:lang w:val="sr-Latn-RS"/>
        </w:rPr>
        <w:t>E</w:t>
      </w:r>
      <w:r w:rsidR="00E2342C" w:rsidRPr="001B26B3">
        <w:rPr>
          <w:vertAlign w:val="subscript"/>
          <w:lang w:val="sr-Latn-RS"/>
        </w:rPr>
        <w:t>max</w:t>
      </w:r>
      <w:r w:rsidR="00E2342C" w:rsidRPr="001B26B3">
        <w:rPr>
          <w:lang w:val="sr-Latn-RS"/>
        </w:rPr>
        <w:t xml:space="preserve"> =</w:t>
      </w:r>
      <w:r w:rsidR="008418C9" w:rsidRPr="001B26B3">
        <w:rPr>
          <w:lang w:val="sr-Latn-RS"/>
        </w:rPr>
        <w:t xml:space="preserve"> </w:t>
      </w:r>
      <w:r w:rsidR="001B26B3">
        <w:rPr>
          <w:lang w:val="sr-Latn-RS"/>
        </w:rPr>
        <w:t>6,98</w:t>
      </w:r>
      <w:r w:rsidR="00E2342C" w:rsidRPr="001B26B3">
        <w:rPr>
          <w:lang w:val="sr-Latn-RS"/>
        </w:rPr>
        <w:t xml:space="preserve"> MV/m.</w:t>
      </w:r>
      <w:r w:rsidR="00E2342C">
        <w:rPr>
          <w:lang w:val="sr-Latn-RS"/>
        </w:rPr>
        <w:t xml:space="preserve"> </w:t>
      </w:r>
      <w:r w:rsidR="00802F61">
        <w:rPr>
          <w:lang w:val="sr-Latn-RS"/>
        </w:rPr>
        <w:t>Analogno principu Faradejevog kaveza, električnom zaštitom je električno polje ograni</w:t>
      </w:r>
      <w:r w:rsidR="008418C9">
        <w:rPr>
          <w:lang w:val="sr-Latn-RS"/>
        </w:rPr>
        <w:t>čeno samo na unutrašnjost kabla, što se</w:t>
      </w:r>
      <w:r w:rsidR="00A602A8">
        <w:rPr>
          <w:lang w:val="sr-Latn-RS"/>
        </w:rPr>
        <w:t xml:space="preserve"> takođe</w:t>
      </w:r>
      <w:r w:rsidR="008418C9">
        <w:rPr>
          <w:lang w:val="sr-Latn-RS"/>
        </w:rPr>
        <w:t xml:space="preserve"> vidi na slici 8.</w:t>
      </w:r>
    </w:p>
    <w:p w14:paraId="3F3C99F9" w14:textId="4A3225C4" w:rsidR="005A752E" w:rsidRDefault="00617A38" w:rsidP="005A752E">
      <w:pPr>
        <w:keepNext/>
        <w:jc w:val="center"/>
      </w:pPr>
      <w:r>
        <w:rPr>
          <w:noProof/>
          <w:lang w:val="sr-Latn-RS" w:eastAsia="sr-Latn-RS"/>
        </w:rPr>
        <w:drawing>
          <wp:inline distT="0" distB="0" distL="0" distR="0" wp14:anchorId="6D36BA30" wp14:editId="23B8B2A2">
            <wp:extent cx="2164311" cy="1627632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8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311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5F9D" w14:textId="6BDAF692" w:rsidR="00BB7331" w:rsidRPr="00BB7331" w:rsidRDefault="005A752E" w:rsidP="005A752E">
      <w:pPr>
        <w:pStyle w:val="Caption"/>
        <w:spacing w:after="120"/>
        <w:jc w:val="center"/>
        <w:rPr>
          <w:highlight w:val="yellow"/>
        </w:rPr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7</w:t>
      </w:r>
      <w:r w:rsidR="00361FAD"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>
        <w:t xml:space="preserve"> </w:t>
      </w:r>
      <w:r w:rsidRPr="001870A2">
        <w:rPr>
          <w:i/>
          <w:caps w:val="0"/>
          <w:spacing w:val="0"/>
          <w:szCs w:val="22"/>
          <w:lang w:val="sr-Latn-RS"/>
        </w:rPr>
        <w:t>Promena inte</w:t>
      </w:r>
      <w:r w:rsidR="00A808A1">
        <w:rPr>
          <w:i/>
          <w:caps w:val="0"/>
          <w:spacing w:val="0"/>
          <w:szCs w:val="22"/>
          <w:lang w:val="sr-Latn-RS"/>
        </w:rPr>
        <w:t>n</w:t>
      </w:r>
      <w:r w:rsidRPr="001870A2">
        <w:rPr>
          <w:i/>
          <w:caps w:val="0"/>
          <w:spacing w:val="0"/>
          <w:szCs w:val="22"/>
          <w:lang w:val="sr-Latn-RS"/>
        </w:rPr>
        <w:t>ziteta vektora jačine električnog polja po y – osi</w:t>
      </w:r>
    </w:p>
    <w:p w14:paraId="1E0FAD72" w14:textId="77777777" w:rsidR="00593CE1" w:rsidRDefault="00BF0110" w:rsidP="00BF0110">
      <w:pPr>
        <w:spacing w:before="60" w:after="120"/>
        <w:rPr>
          <w:lang w:val="sr-Latn-RS"/>
        </w:rPr>
      </w:pPr>
      <w:r>
        <w:rPr>
          <w:lang w:val="sr-Latn-RS"/>
        </w:rPr>
        <w:t xml:space="preserve">U svrhu analize promene </w:t>
      </w:r>
      <w:r w:rsidR="00A602A8">
        <w:rPr>
          <w:lang w:val="sr-Latn-RS"/>
        </w:rPr>
        <w:t>inte</w:t>
      </w:r>
      <w:r w:rsidR="00264F36">
        <w:rPr>
          <w:lang w:val="sr-Latn-RS"/>
        </w:rPr>
        <w:t>n</w:t>
      </w:r>
      <w:r w:rsidR="00A602A8">
        <w:rPr>
          <w:lang w:val="sr-Latn-RS"/>
        </w:rPr>
        <w:t xml:space="preserve">ziteta </w:t>
      </w:r>
      <w:r>
        <w:rPr>
          <w:lang w:val="sr-Latn-RS"/>
        </w:rPr>
        <w:t xml:space="preserve">vektora jačine električnog polja u oblasti vodenog </w:t>
      </w:r>
      <w:r w:rsidR="008418C9">
        <w:rPr>
          <w:lang w:val="sr-Latn-RS"/>
        </w:rPr>
        <w:t>grananja</w:t>
      </w:r>
      <w:r w:rsidR="00A602A8">
        <w:rPr>
          <w:lang w:val="sr-Latn-RS"/>
        </w:rPr>
        <w:t>,</w:t>
      </w:r>
      <w:r>
        <w:rPr>
          <w:lang w:val="sr-Latn-RS"/>
        </w:rPr>
        <w:t xml:space="preserve"> posm</w:t>
      </w:r>
      <w:r w:rsidR="008A35B4">
        <w:rPr>
          <w:lang w:val="sr-Latn-RS"/>
        </w:rPr>
        <w:t>a</w:t>
      </w:r>
      <w:r>
        <w:rPr>
          <w:lang w:val="sr-Latn-RS"/>
        </w:rPr>
        <w:t xml:space="preserve">trana je njegova promena po </w:t>
      </w:r>
      <w:r w:rsidRPr="001870A2">
        <w:rPr>
          <w:i/>
          <w:lang w:val="sr-Latn-RS"/>
        </w:rPr>
        <w:t>x</w:t>
      </w:r>
      <w:r w:rsidR="008418C9">
        <w:rPr>
          <w:lang w:val="sr-Latn-RS"/>
        </w:rPr>
        <w:t xml:space="preserve"> – osi (slika </w:t>
      </w:r>
      <w:r w:rsidR="005D5AA0">
        <w:rPr>
          <w:lang w:val="sr-Latn-RS"/>
        </w:rPr>
        <w:t>9</w:t>
      </w:r>
      <w:r>
        <w:rPr>
          <w:lang w:val="sr-Latn-RS"/>
        </w:rPr>
        <w:t>)</w:t>
      </w:r>
      <w:r w:rsidR="005C38BC">
        <w:rPr>
          <w:lang w:val="sr-Latn-RS"/>
        </w:rPr>
        <w:t xml:space="preserve">. </w:t>
      </w:r>
    </w:p>
    <w:p w14:paraId="72D65AF6" w14:textId="77777777" w:rsidR="00593CE1" w:rsidRDefault="00593CE1" w:rsidP="00593CE1">
      <w:pPr>
        <w:keepNext/>
        <w:jc w:val="center"/>
      </w:pPr>
      <w:r>
        <w:rPr>
          <w:noProof/>
          <w:lang w:val="sr-Latn-RS" w:eastAsia="sr-Latn-RS"/>
        </w:rPr>
        <w:drawing>
          <wp:inline distT="0" distB="0" distL="0" distR="0" wp14:anchorId="70A7C9FF" wp14:editId="29DF7463">
            <wp:extent cx="2155513" cy="1627632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lektrično polje po x osi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513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7A97" w14:textId="77777777" w:rsidR="00593CE1" w:rsidRDefault="00593CE1" w:rsidP="00593CE1">
      <w:pPr>
        <w:pStyle w:val="Caption"/>
        <w:spacing w:after="120"/>
        <w:jc w:val="center"/>
        <w:rPr>
          <w:lang w:val="sr-Latn-RS"/>
        </w:rPr>
      </w:pP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 xml:space="preserve">Slika </w:t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begin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instrText xml:space="preserve"> SEQ Slika \* ARABIC </w:instrText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separate"/>
      </w:r>
      <w:r w:rsidR="00A24AC7">
        <w:rPr>
          <w:rFonts w:ascii="Times New Roman" w:eastAsia="Times New Roman" w:hAnsi="Times New Roman" w:cs="Times New Roman"/>
          <w:iCs/>
          <w:caps w:val="0"/>
          <w:noProof/>
          <w:spacing w:val="0"/>
          <w:sz w:val="20"/>
          <w:szCs w:val="20"/>
          <w:lang w:val="sr-Latn-CS"/>
        </w:rPr>
        <w:t>8</w:t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fldChar w:fldCharType="end"/>
      </w:r>
      <w:r w:rsidRPr="00BC1B6C">
        <w:rPr>
          <w:rFonts w:ascii="Times New Roman" w:eastAsia="Times New Roman" w:hAnsi="Times New Roman" w:cs="Times New Roman"/>
          <w:iCs/>
          <w:caps w:val="0"/>
          <w:spacing w:val="0"/>
          <w:sz w:val="20"/>
          <w:szCs w:val="20"/>
          <w:lang w:val="sr-Latn-CS"/>
        </w:rPr>
        <w:t>.</w:t>
      </w:r>
      <w:r w:rsidRPr="00BF0110">
        <w:rPr>
          <w:i/>
          <w:caps w:val="0"/>
          <w:spacing w:val="0"/>
          <w:szCs w:val="22"/>
          <w:lang w:val="sr-Latn-RS"/>
        </w:rPr>
        <w:t xml:space="preserve"> Promena inte</w:t>
      </w:r>
      <w:r>
        <w:rPr>
          <w:i/>
          <w:caps w:val="0"/>
          <w:spacing w:val="0"/>
          <w:szCs w:val="22"/>
          <w:lang w:val="sr-Latn-RS"/>
        </w:rPr>
        <w:t>n</w:t>
      </w:r>
      <w:r w:rsidRPr="00BF0110">
        <w:rPr>
          <w:i/>
          <w:caps w:val="0"/>
          <w:spacing w:val="0"/>
          <w:szCs w:val="22"/>
          <w:lang w:val="sr-Latn-RS"/>
        </w:rPr>
        <w:t>ziteta vektora jačine električnog polja</w:t>
      </w:r>
      <w:r>
        <w:rPr>
          <w:i/>
          <w:caps w:val="0"/>
          <w:spacing w:val="0"/>
          <w:szCs w:val="22"/>
          <w:lang w:val="sr-Latn-RS"/>
        </w:rPr>
        <w:t xml:space="preserve"> po x</w:t>
      </w:r>
      <w:r w:rsidRPr="00BF0110">
        <w:rPr>
          <w:i/>
          <w:caps w:val="0"/>
          <w:spacing w:val="0"/>
          <w:szCs w:val="22"/>
          <w:lang w:val="sr-Latn-RS"/>
        </w:rPr>
        <w:t xml:space="preserve"> – osi</w:t>
      </w:r>
    </w:p>
    <w:p w14:paraId="1A0C1195" w14:textId="77777777" w:rsidR="00E11FB1" w:rsidRDefault="005C38BC" w:rsidP="00BF0110">
      <w:pPr>
        <w:spacing w:before="60" w:after="120"/>
        <w:rPr>
          <w:lang w:val="sr-Latn-RS"/>
        </w:rPr>
      </w:pPr>
      <w:r>
        <w:rPr>
          <w:lang w:val="sr-Latn-RS"/>
        </w:rPr>
        <w:t>Odmah m</w:t>
      </w:r>
      <w:r w:rsidR="00AC0700">
        <w:rPr>
          <w:lang w:val="sr-Latn-RS"/>
        </w:rPr>
        <w:t>ože da se uoči značajna razlika u raspodeli intenziteta vektora jačine električnog polja u odnosu na pravac bez oblasti vodenog grananja (slika 8).</w:t>
      </w:r>
      <w:r w:rsidR="00791467">
        <w:rPr>
          <w:lang w:val="sr-Latn-RS"/>
        </w:rPr>
        <w:t xml:space="preserve"> Usled povećanja specifične provodnosti</w:t>
      </w:r>
      <w:r w:rsidR="003F60E6">
        <w:rPr>
          <w:lang w:val="sr-Latn-RS"/>
        </w:rPr>
        <w:t xml:space="preserve"> u </w:t>
      </w:r>
      <w:r w:rsidR="00A602A8">
        <w:rPr>
          <w:lang w:val="sr-Latn-RS"/>
        </w:rPr>
        <w:t xml:space="preserve">oblasti </w:t>
      </w:r>
      <w:r w:rsidR="00791467">
        <w:rPr>
          <w:lang w:val="sr-Latn-RS"/>
        </w:rPr>
        <w:t xml:space="preserve">vodenog </w:t>
      </w:r>
      <w:r w:rsidR="008418C9">
        <w:rPr>
          <w:lang w:val="sr-Latn-RS"/>
        </w:rPr>
        <w:t>grananja</w:t>
      </w:r>
      <w:r w:rsidR="00A602A8">
        <w:rPr>
          <w:lang w:val="sr-Latn-RS"/>
        </w:rPr>
        <w:t>,</w:t>
      </w:r>
      <w:r w:rsidR="00791467">
        <w:rPr>
          <w:lang w:val="sr-Latn-RS"/>
        </w:rPr>
        <w:t xml:space="preserve"> intezitet vektora jačine električnog polja </w:t>
      </w:r>
      <w:r w:rsidR="00AC0700">
        <w:rPr>
          <w:lang w:val="sr-Latn-RS"/>
        </w:rPr>
        <w:t xml:space="preserve">u toj oblasti je </w:t>
      </w:r>
      <w:r w:rsidR="00791467">
        <w:rPr>
          <w:lang w:val="sr-Latn-RS"/>
        </w:rPr>
        <w:t>približno jedn</w:t>
      </w:r>
      <w:r w:rsidR="008A35B4">
        <w:rPr>
          <w:lang w:val="sr-Latn-RS"/>
        </w:rPr>
        <w:t>a</w:t>
      </w:r>
      <w:r w:rsidR="008418C9">
        <w:rPr>
          <w:lang w:val="sr-Latn-RS"/>
        </w:rPr>
        <w:t>k</w:t>
      </w:r>
      <w:r w:rsidR="00791467">
        <w:rPr>
          <w:lang w:val="sr-Latn-RS"/>
        </w:rPr>
        <w:t xml:space="preserve"> nuli. Takođe, povećanje relativne permitivnosti vodenog </w:t>
      </w:r>
      <w:r w:rsidR="008418C9">
        <w:rPr>
          <w:lang w:val="sr-Latn-RS"/>
        </w:rPr>
        <w:t>grananja</w:t>
      </w:r>
      <w:r w:rsidR="00791467">
        <w:rPr>
          <w:lang w:val="sr-Latn-RS"/>
        </w:rPr>
        <w:t xml:space="preserve"> doprinosi dodatnom smanjenju električnog polja unutar </w:t>
      </w:r>
      <w:r w:rsidR="00FD4BBF">
        <w:rPr>
          <w:lang w:val="sr-Latn-RS"/>
        </w:rPr>
        <w:t xml:space="preserve">posmatrane </w:t>
      </w:r>
      <w:r w:rsidR="00A602A8">
        <w:rPr>
          <w:lang w:val="sr-Latn-RS"/>
        </w:rPr>
        <w:t>oblasti</w:t>
      </w:r>
      <w:r w:rsidR="00791467">
        <w:rPr>
          <w:lang w:val="sr-Latn-RS"/>
        </w:rPr>
        <w:t xml:space="preserve">, </w:t>
      </w:r>
      <w:r w:rsidR="007D3179">
        <w:rPr>
          <w:lang w:val="sr-Latn-RS"/>
        </w:rPr>
        <w:t>pošto je jačina električnog polja obrnuto srazmerna relativnoj permitivnosti</w:t>
      </w:r>
      <w:r w:rsidR="008418C9">
        <w:rPr>
          <w:lang w:val="sr-Latn-RS"/>
        </w:rPr>
        <w:t xml:space="preserve"> sredine</w:t>
      </w:r>
      <w:r w:rsidR="007D3179">
        <w:rPr>
          <w:lang w:val="sr-Latn-RS"/>
        </w:rPr>
        <w:t xml:space="preserve">. </w:t>
      </w:r>
    </w:p>
    <w:p w14:paraId="3B29BE90" w14:textId="60C4EBBE" w:rsidR="00BF0110" w:rsidRPr="00BB7331" w:rsidRDefault="007D3179" w:rsidP="00BF0110">
      <w:pPr>
        <w:spacing w:before="60" w:after="120"/>
        <w:rPr>
          <w:lang w:val="sr-Latn-RS"/>
        </w:rPr>
      </w:pPr>
      <w:r>
        <w:rPr>
          <w:lang w:val="sr-Latn-RS"/>
        </w:rPr>
        <w:t xml:space="preserve">Ipak, najbitnije zapažanje odnosi se na drastično povećanje elektičnog polja na vrhu vodenog </w:t>
      </w:r>
      <w:r w:rsidR="008418C9">
        <w:rPr>
          <w:lang w:val="sr-Latn-RS"/>
        </w:rPr>
        <w:t>grananja</w:t>
      </w:r>
      <w:r w:rsidR="009E57C9">
        <w:rPr>
          <w:lang w:val="sr-Latn-RS"/>
        </w:rPr>
        <w:t>, koje do</w:t>
      </w:r>
      <w:r w:rsidR="002506EE">
        <w:rPr>
          <w:lang w:val="sr-Latn-RS"/>
        </w:rPr>
        <w:t>s</w:t>
      </w:r>
      <w:r w:rsidR="009E57C9">
        <w:rPr>
          <w:lang w:val="sr-Latn-RS"/>
        </w:rPr>
        <w:t xml:space="preserve">tiže vrednost </w:t>
      </w:r>
      <w:r w:rsidR="009E57C9" w:rsidRPr="003F60E6">
        <w:rPr>
          <w:i/>
          <w:lang w:val="sr-Latn-RS"/>
        </w:rPr>
        <w:t>E</w:t>
      </w:r>
      <w:r w:rsidR="009E57C9" w:rsidRPr="001B26B3">
        <w:rPr>
          <w:vertAlign w:val="subscript"/>
          <w:lang w:val="sr-Latn-RS"/>
        </w:rPr>
        <w:t>max</w:t>
      </w:r>
      <w:r w:rsidR="001B26B3">
        <w:rPr>
          <w:lang w:val="sr-Latn-RS"/>
        </w:rPr>
        <w:t xml:space="preserve"> = 37</w:t>
      </w:r>
      <w:r w:rsidR="00264F36" w:rsidRPr="001B26B3">
        <w:rPr>
          <w:lang w:val="sr-Latn-RS"/>
        </w:rPr>
        <w:t>,</w:t>
      </w:r>
      <w:r w:rsidR="009E57C9" w:rsidRPr="001B26B3">
        <w:rPr>
          <w:lang w:val="sr-Latn-RS"/>
        </w:rPr>
        <w:t>3 MV/m</w:t>
      </w:r>
      <w:r w:rsidR="00AC0700">
        <w:rPr>
          <w:lang w:val="sr-Latn-RS"/>
        </w:rPr>
        <w:t xml:space="preserve"> i nešto manji skok na </w:t>
      </w:r>
      <w:r w:rsidR="00563C69">
        <w:rPr>
          <w:lang w:val="sr-Latn-RS"/>
        </w:rPr>
        <w:t>korenu</w:t>
      </w:r>
      <w:r w:rsidR="00AC0700">
        <w:rPr>
          <w:lang w:val="sr-Latn-RS"/>
        </w:rPr>
        <w:t xml:space="preserve"> </w:t>
      </w:r>
      <w:r w:rsidR="005C38BC">
        <w:rPr>
          <w:lang w:val="sr-Latn-RS"/>
        </w:rPr>
        <w:t xml:space="preserve">vodenog grananja </w:t>
      </w:r>
      <w:r w:rsidR="00563C69">
        <w:rPr>
          <w:lang w:val="sr-Latn-RS"/>
        </w:rPr>
        <w:t>uz separator</w:t>
      </w:r>
      <w:r w:rsidR="0036140B">
        <w:rPr>
          <w:lang w:val="sr-Latn-RS"/>
        </w:rPr>
        <w:t xml:space="preserve">. </w:t>
      </w:r>
      <w:r w:rsidR="0036140B" w:rsidRPr="001870A2">
        <w:rPr>
          <w:lang w:val="sr-Latn-RS"/>
        </w:rPr>
        <w:t xml:space="preserve">Ovo se objašnjava </w:t>
      </w:r>
      <w:r w:rsidR="0036140B">
        <w:rPr>
          <w:lang w:val="sr-Latn-RS"/>
        </w:rPr>
        <w:t>činjenicom da je električno polje u okolini provodnih tela obrnuto srazmerno poluprečniku</w:t>
      </w:r>
      <w:r w:rsidR="005D5AA0">
        <w:rPr>
          <w:lang w:val="sr-Latn-RS"/>
        </w:rPr>
        <w:t xml:space="preserve"> </w:t>
      </w:r>
      <w:r w:rsidR="009A3C91">
        <w:rPr>
          <w:lang w:val="sr-Latn-RS"/>
        </w:rPr>
        <w:t>zakrivlje</w:t>
      </w:r>
      <w:r w:rsidR="00E11FB1">
        <w:rPr>
          <w:lang w:val="sr-Latn-RS"/>
        </w:rPr>
        <w:softHyphen/>
      </w:r>
      <w:r w:rsidR="009A3C91">
        <w:rPr>
          <w:lang w:val="sr-Latn-RS"/>
        </w:rPr>
        <w:t>n</w:t>
      </w:r>
      <w:r w:rsidR="00AC0700">
        <w:rPr>
          <w:lang w:val="sr-Latn-RS"/>
        </w:rPr>
        <w:t>o</w:t>
      </w:r>
      <w:r w:rsidR="009A3C91">
        <w:rPr>
          <w:lang w:val="sr-Latn-RS"/>
        </w:rPr>
        <w:t>sti</w:t>
      </w:r>
      <w:r w:rsidR="0036140B">
        <w:rPr>
          <w:lang w:val="sr-Latn-RS"/>
        </w:rPr>
        <w:t xml:space="preserve"> p</w:t>
      </w:r>
      <w:r w:rsidR="008418C9">
        <w:rPr>
          <w:lang w:val="sr-Latn-RS"/>
        </w:rPr>
        <w:t>ovršine</w:t>
      </w:r>
      <w:r w:rsidR="0036140B">
        <w:rPr>
          <w:lang w:val="sr-Latn-RS"/>
        </w:rPr>
        <w:t xml:space="preserve"> tela</w:t>
      </w:r>
      <w:r w:rsidR="00AC0700">
        <w:rPr>
          <w:lang w:val="sr-Latn-RS"/>
        </w:rPr>
        <w:t xml:space="preserve"> - vrh vodenog grananja </w:t>
      </w:r>
      <w:r w:rsidR="00E11FB1">
        <w:rPr>
          <w:lang w:val="sr-Latn-RS"/>
        </w:rPr>
        <w:t xml:space="preserve">ponaša </w:t>
      </w:r>
      <w:r w:rsidR="00AC0700">
        <w:rPr>
          <w:lang w:val="sr-Latn-RS"/>
        </w:rPr>
        <w:t>se kao šiljasti deo provodnika</w:t>
      </w:r>
      <w:r w:rsidR="0036140B">
        <w:rPr>
          <w:lang w:val="sr-Latn-RS"/>
        </w:rPr>
        <w:t>.</w:t>
      </w:r>
      <w:r w:rsidR="009E57C9">
        <w:rPr>
          <w:lang w:val="sr-Latn-RS"/>
        </w:rPr>
        <w:t xml:space="preserve"> </w:t>
      </w:r>
    </w:p>
    <w:p w14:paraId="20DBF967" w14:textId="58219413" w:rsidR="0036140B" w:rsidRDefault="009E57C9" w:rsidP="0036140B">
      <w:pPr>
        <w:spacing w:before="6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lastRenderedPageBreak/>
        <w:t>5</w:t>
      </w:r>
      <w:r w:rsidR="0036140B" w:rsidRPr="00E32CBD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Z</w:t>
      </w:r>
      <w:r w:rsidR="002506EE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AKLJU</w:t>
      </w:r>
      <w:r w:rsidR="0077272B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Č</w:t>
      </w:r>
      <w:r w:rsidR="002506EE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AK</w:t>
      </w:r>
    </w:p>
    <w:p w14:paraId="15A2AB74" w14:textId="76355AEA" w:rsidR="00F30321" w:rsidRDefault="00C43C91" w:rsidP="00CD733A">
      <w:pPr>
        <w:spacing w:before="60"/>
        <w:rPr>
          <w:lang w:val="sr-Latn-RS"/>
        </w:rPr>
      </w:pPr>
      <w:r w:rsidRPr="00F21F92">
        <w:rPr>
          <w:lang w:val="sr-Latn-RS"/>
        </w:rPr>
        <w:t>Za uspostavljanje pouzdanog i sigurnog napajanja električnom energijom</w:t>
      </w:r>
      <w:r w:rsidR="00563C69">
        <w:rPr>
          <w:lang w:val="sr-Latn-RS"/>
        </w:rPr>
        <w:t>,</w:t>
      </w:r>
      <w:r w:rsidRPr="00F21F92">
        <w:rPr>
          <w:lang w:val="sr-Latn-RS"/>
        </w:rPr>
        <w:t xml:space="preserve"> od suštinske važnosti je </w:t>
      </w:r>
      <w:r w:rsidR="006D0B49">
        <w:rPr>
          <w:lang w:val="sr-Latn-RS"/>
        </w:rPr>
        <w:t xml:space="preserve">stanje, </w:t>
      </w:r>
      <w:r w:rsidR="003F60E6">
        <w:rPr>
          <w:lang w:val="sr-Latn-RS"/>
        </w:rPr>
        <w:t xml:space="preserve">kao i </w:t>
      </w:r>
      <w:r w:rsidRPr="00F21F92">
        <w:rPr>
          <w:lang w:val="sr-Latn-RS"/>
        </w:rPr>
        <w:t>redovno i pravilno održavanje svih elemenat</w:t>
      </w:r>
      <w:r w:rsidR="00480E52">
        <w:rPr>
          <w:lang w:val="sr-Latn-RS"/>
        </w:rPr>
        <w:t>a elek</w:t>
      </w:r>
      <w:r w:rsidR="00E11FB1">
        <w:rPr>
          <w:lang w:val="sr-Latn-RS"/>
        </w:rPr>
        <w:softHyphen/>
      </w:r>
      <w:r w:rsidR="00480E52">
        <w:rPr>
          <w:lang w:val="sr-Latn-RS"/>
        </w:rPr>
        <w:t>troenergetskog sistema. O</w:t>
      </w:r>
      <w:r w:rsidRPr="00F21F92">
        <w:rPr>
          <w:lang w:val="sr-Latn-RS"/>
        </w:rPr>
        <w:t>državanje i monitoring kablov</w:t>
      </w:r>
      <w:r w:rsidR="00E11FB1">
        <w:rPr>
          <w:lang w:val="sr-Latn-RS"/>
        </w:rPr>
        <w:softHyphen/>
      </w:r>
      <w:r w:rsidRPr="00F21F92">
        <w:rPr>
          <w:lang w:val="sr-Latn-RS"/>
        </w:rPr>
        <w:t>skih vodova predstvalja skup složenih metoda merenja i ispitivanja u cilju održavanja kablovskih vodova u teh</w:t>
      </w:r>
      <w:r w:rsidR="00E11FB1">
        <w:rPr>
          <w:lang w:val="sr-Latn-RS"/>
        </w:rPr>
        <w:softHyphen/>
      </w:r>
      <w:r w:rsidRPr="00F21F92">
        <w:rPr>
          <w:lang w:val="sr-Latn-RS"/>
        </w:rPr>
        <w:t>nički isp</w:t>
      </w:r>
      <w:r>
        <w:rPr>
          <w:lang w:val="sr-Latn-RS"/>
        </w:rPr>
        <w:t>r</w:t>
      </w:r>
      <w:r w:rsidRPr="00F21F92">
        <w:rPr>
          <w:lang w:val="sr-Latn-RS"/>
        </w:rPr>
        <w:t>avnom stanju. Posebnu pažn</w:t>
      </w:r>
      <w:r>
        <w:rPr>
          <w:lang w:val="sr-Latn-RS"/>
        </w:rPr>
        <w:t>j</w:t>
      </w:r>
      <w:r w:rsidRPr="00F21F92">
        <w:rPr>
          <w:lang w:val="sr-Latn-RS"/>
        </w:rPr>
        <w:t>u iziskuje anal</w:t>
      </w:r>
      <w:r>
        <w:rPr>
          <w:lang w:val="sr-Latn-RS"/>
        </w:rPr>
        <w:t>i</w:t>
      </w:r>
      <w:r w:rsidRPr="00F21F92">
        <w:rPr>
          <w:lang w:val="sr-Latn-RS"/>
        </w:rPr>
        <w:t>za stanj</w:t>
      </w:r>
      <w:r w:rsidR="00480E52">
        <w:rPr>
          <w:lang w:val="sr-Latn-RS"/>
        </w:rPr>
        <w:t>a izolacionog sistema. U ovom radu je pokazano da pojava vodenog grananja na ekranu izolacije dovodi do značajnih promena u raspodeli elekt</w:t>
      </w:r>
      <w:r w:rsidR="006D0B49">
        <w:rPr>
          <w:lang w:val="sr-Latn-RS"/>
        </w:rPr>
        <w:t>r</w:t>
      </w:r>
      <w:r w:rsidR="00480E52">
        <w:rPr>
          <w:lang w:val="sr-Latn-RS"/>
        </w:rPr>
        <w:t xml:space="preserve">ičnog polja i </w:t>
      </w:r>
      <w:r w:rsidR="008E273A">
        <w:rPr>
          <w:lang w:val="sr-Latn-RS"/>
        </w:rPr>
        <w:t xml:space="preserve">električnog skalar </w:t>
      </w:r>
      <w:r w:rsidR="00480E52">
        <w:rPr>
          <w:lang w:val="sr-Latn-RS"/>
        </w:rPr>
        <w:t xml:space="preserve">potencijala unutar kabla. </w:t>
      </w:r>
      <w:r w:rsidR="00563C69">
        <w:rPr>
          <w:lang w:val="sr-Latn-RS"/>
        </w:rPr>
        <w:t xml:space="preserve">Najdrastičnije </w:t>
      </w:r>
      <w:r w:rsidR="00480E52">
        <w:rPr>
          <w:lang w:val="sr-Latn-RS"/>
        </w:rPr>
        <w:t>povećanje električnog polja je uočeno na njegovom v</w:t>
      </w:r>
      <w:r w:rsidR="00D76842">
        <w:rPr>
          <w:lang w:val="sr-Latn-RS"/>
        </w:rPr>
        <w:t xml:space="preserve">rhu, gde dostiže vrednost od </w:t>
      </w:r>
      <w:r w:rsidR="001B26B3">
        <w:rPr>
          <w:lang w:val="sr-Latn-RS"/>
        </w:rPr>
        <w:t>37</w:t>
      </w:r>
      <w:r w:rsidR="00563C69" w:rsidRPr="001B26B3">
        <w:rPr>
          <w:lang w:val="sr-Latn-RS"/>
        </w:rPr>
        <w:t>,</w:t>
      </w:r>
      <w:r w:rsidR="00480E52" w:rsidRPr="001B26B3">
        <w:rPr>
          <w:lang w:val="sr-Latn-RS"/>
        </w:rPr>
        <w:t>3 MV/m</w:t>
      </w:r>
      <w:r w:rsidR="007B1C6C" w:rsidRPr="001B26B3">
        <w:rPr>
          <w:lang w:val="sr-Latn-RS"/>
        </w:rPr>
        <w:t>.</w:t>
      </w:r>
      <w:r w:rsidR="007B1C6C">
        <w:rPr>
          <w:lang w:val="sr-Latn-RS"/>
        </w:rPr>
        <w:t xml:space="preserve"> Kako dielektrična</w:t>
      </w:r>
      <w:r w:rsidR="00480E52">
        <w:rPr>
          <w:lang w:val="sr-Latn-RS"/>
        </w:rPr>
        <w:t xml:space="preserve"> čvrstina </w:t>
      </w:r>
      <w:r w:rsidR="007B1C6C">
        <w:rPr>
          <w:lang w:val="sr-Latn-RS"/>
        </w:rPr>
        <w:t>umreženog polietilena</w:t>
      </w:r>
      <w:r w:rsidR="00480E52">
        <w:rPr>
          <w:lang w:val="sr-Latn-RS"/>
        </w:rPr>
        <w:t xml:space="preserve"> iznosi oko 21 MV/m, </w:t>
      </w:r>
      <w:r w:rsidR="007B1C6C">
        <w:rPr>
          <w:lang w:val="sr-Latn-RS"/>
        </w:rPr>
        <w:t xml:space="preserve">očigledno je da će pomenuto povećanje električnog polja na vrhovima grana prouzrokovati degradaciju izolacije, a samim tim i </w:t>
      </w:r>
      <w:r w:rsidR="00D27338">
        <w:rPr>
          <w:lang w:val="sr-Latn-RS"/>
        </w:rPr>
        <w:t xml:space="preserve">brže širenje vodenog grananja. </w:t>
      </w:r>
      <w:r w:rsidR="006D0B49">
        <w:rPr>
          <w:lang w:val="sr-Latn-RS"/>
        </w:rPr>
        <w:t>Pokazano je, t</w:t>
      </w:r>
      <w:r w:rsidR="00D27338">
        <w:rPr>
          <w:lang w:val="sr-Latn-RS"/>
        </w:rPr>
        <w:t xml:space="preserve">akođe, </w:t>
      </w:r>
      <w:r w:rsidR="006C0E89">
        <w:rPr>
          <w:lang w:val="sr-Latn-RS"/>
        </w:rPr>
        <w:t xml:space="preserve">da </w:t>
      </w:r>
      <w:r w:rsidR="00D27338">
        <w:rPr>
          <w:lang w:val="sr-Latn-RS"/>
        </w:rPr>
        <w:t xml:space="preserve">i pored pojave vodenog </w:t>
      </w:r>
      <w:r w:rsidR="006C0E89">
        <w:rPr>
          <w:lang w:val="sr-Latn-RS"/>
        </w:rPr>
        <w:t>grananja</w:t>
      </w:r>
      <w:r w:rsidR="00D27338">
        <w:rPr>
          <w:lang w:val="sr-Latn-RS"/>
        </w:rPr>
        <w:t>, maksimalna vrednost električno</w:t>
      </w:r>
      <w:r w:rsidR="006C0E89">
        <w:rPr>
          <w:lang w:val="sr-Latn-RS"/>
        </w:rPr>
        <w:t>g</w:t>
      </w:r>
      <w:r w:rsidR="00D27338">
        <w:rPr>
          <w:lang w:val="sr-Latn-RS"/>
        </w:rPr>
        <w:t xml:space="preserve"> </w:t>
      </w:r>
      <w:r w:rsidR="006D0B49">
        <w:rPr>
          <w:lang w:val="sr-Latn-RS"/>
        </w:rPr>
        <w:t xml:space="preserve">skalar </w:t>
      </w:r>
      <w:r w:rsidR="00D27338">
        <w:rPr>
          <w:lang w:val="sr-Latn-RS"/>
        </w:rPr>
        <w:t>potencijala os</w:t>
      </w:r>
      <w:r w:rsidR="006C0E89">
        <w:rPr>
          <w:lang w:val="sr-Latn-RS"/>
        </w:rPr>
        <w:t>taje neprome</w:t>
      </w:r>
      <w:r w:rsidR="00E11FB1">
        <w:rPr>
          <w:lang w:val="sr-Latn-RS"/>
        </w:rPr>
        <w:softHyphen/>
      </w:r>
      <w:r w:rsidR="006C0E89">
        <w:rPr>
          <w:lang w:val="sr-Latn-RS"/>
        </w:rPr>
        <w:t xml:space="preserve">njena, pa samim </w:t>
      </w:r>
      <w:r w:rsidR="006D0B49">
        <w:rPr>
          <w:lang w:val="sr-Latn-RS"/>
        </w:rPr>
        <w:t xml:space="preserve">tim, </w:t>
      </w:r>
      <w:r w:rsidR="006C0E89">
        <w:rPr>
          <w:lang w:val="sr-Latn-RS"/>
        </w:rPr>
        <w:t>nema ni devijacije napona koja bi ukazala na postojanje vodenog grananja.</w:t>
      </w:r>
      <w:r w:rsidR="00F30321">
        <w:rPr>
          <w:lang w:val="sr-Latn-RS"/>
        </w:rPr>
        <w:t xml:space="preserve"> </w:t>
      </w:r>
    </w:p>
    <w:p w14:paraId="36BB82E7" w14:textId="74CBDE5D" w:rsidR="00F30321" w:rsidRPr="00203C31" w:rsidRDefault="00E11FB1" w:rsidP="00F312A2">
      <w:pPr>
        <w:spacing w:before="240"/>
        <w:jc w:val="left"/>
        <w:rPr>
          <w:rFonts w:ascii="Times New Roman" w:eastAsia="Times New Roman" w:hAnsi="Times New Roman" w:cs="Times New Roman"/>
          <w:b/>
          <w:iCs/>
          <w:szCs w:val="20"/>
          <w:lang w:val="sr-Latn-CS"/>
        </w:rPr>
      </w:pPr>
      <w:r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6</w:t>
      </w:r>
      <w:r w:rsidR="00F30321" w:rsidRPr="00E32CBD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 xml:space="preserve">. </w:t>
      </w:r>
      <w:r w:rsidR="00203C31">
        <w:rPr>
          <w:rFonts w:ascii="Times New Roman" w:eastAsia="Times New Roman" w:hAnsi="Times New Roman" w:cs="Times New Roman"/>
          <w:b/>
          <w:iCs/>
          <w:szCs w:val="20"/>
          <w:lang w:val="sr-Latn-CS"/>
        </w:rPr>
        <w:t>LITERATURA</w:t>
      </w:r>
    </w:p>
    <w:p w14:paraId="482A90E0" w14:textId="33F73BB4" w:rsidR="006C0E89" w:rsidRDefault="00F30321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 w:rsidRPr="00F21F92">
        <w:rPr>
          <w:lang w:val="sr-Latn-RS"/>
        </w:rPr>
        <w:t xml:space="preserve">Stojan V. Nikolajević, </w:t>
      </w:r>
      <w:r w:rsidRPr="00F21F92">
        <w:rPr>
          <w:i/>
          <w:lang w:val="sr-Latn-RS"/>
        </w:rPr>
        <w:t>Kablovska tehnika</w:t>
      </w:r>
      <w:r w:rsidRPr="00F21F92">
        <w:rPr>
          <w:lang w:val="sr-Latn-RS"/>
        </w:rPr>
        <w:t>, JP Službeni list SRJ, Beograd, 2007.</w:t>
      </w:r>
    </w:p>
    <w:p w14:paraId="10F9FB79" w14:textId="76AF031E" w:rsidR="00203C31" w:rsidRPr="008F6B36" w:rsidRDefault="00203C31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 w:rsidRPr="00F21F92">
        <w:rPr>
          <w:lang w:val="sr-Latn-RS"/>
        </w:rPr>
        <w:t xml:space="preserve">K. Kasaš-Lažetić, D. Herceg, G. Mijatović, D. Kljajić, </w:t>
      </w:r>
      <w:r w:rsidRPr="00BC1B6C">
        <w:rPr>
          <w:lang w:val="sr-Latn-RS"/>
        </w:rPr>
        <w:t>M. Prša</w:t>
      </w:r>
      <w:r w:rsidRPr="00F21F92">
        <w:rPr>
          <w:i/>
          <w:lang w:val="sr-Latn-RS"/>
        </w:rPr>
        <w:t>, Electromagnetic Field Produced by Single HV Cable</w:t>
      </w:r>
      <w:r w:rsidRPr="008F6B36">
        <w:rPr>
          <w:lang w:val="sr-Latn-RS"/>
        </w:rPr>
        <w:t xml:space="preserve">, </w:t>
      </w:r>
      <w:r w:rsidR="008F6B36" w:rsidRPr="008F6B36">
        <w:rPr>
          <w:lang w:val="sr-Latn-RS"/>
        </w:rPr>
        <w:t>INDEL</w:t>
      </w:r>
      <w:r w:rsidRPr="00F21F92">
        <w:rPr>
          <w:i/>
          <w:lang w:val="sr-Latn-RS"/>
        </w:rPr>
        <w:t>,</w:t>
      </w:r>
      <w:r w:rsidRPr="00BC1B6C">
        <w:rPr>
          <w:lang w:val="sr-Latn-RS"/>
        </w:rPr>
        <w:t>2018</w:t>
      </w:r>
      <w:r w:rsidR="008F6B36" w:rsidRPr="00BC1B6C">
        <w:rPr>
          <w:lang w:val="sr-Latn-RS"/>
        </w:rPr>
        <w:t>, Banja Luka, pp. 1-5</w:t>
      </w:r>
      <w:r w:rsidRPr="00BC1B6C">
        <w:rPr>
          <w:lang w:val="sr-Latn-RS"/>
        </w:rPr>
        <w:t>.</w:t>
      </w:r>
    </w:p>
    <w:p w14:paraId="4F0FF018" w14:textId="77777777" w:rsidR="00FD4BBF" w:rsidRPr="00FD4BBF" w:rsidRDefault="00203C31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 w:rsidRPr="00203C31">
        <w:rPr>
          <w:lang w:val="sr-Latn-RS"/>
        </w:rPr>
        <w:t xml:space="preserve">IS-EMS 200:2019 </w:t>
      </w:r>
      <w:r w:rsidRPr="00203C31">
        <w:rPr>
          <w:i/>
          <w:lang w:val="sr-Latn-RS"/>
        </w:rPr>
        <w:t>Osnovni tehnički zahtevi za izbor i montažu energetskih kablova i kablovskog pribora u prenosnoj mreži</w:t>
      </w:r>
    </w:p>
    <w:p w14:paraId="61997BCA" w14:textId="77777777" w:rsidR="00FD4BBF" w:rsidRDefault="00FD4BBF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 w:rsidRPr="00FD4BBF">
        <w:rPr>
          <w:lang w:val="sr-Latn-RS"/>
        </w:rPr>
        <w:t xml:space="preserve">E. F. Steennis, </w:t>
      </w:r>
      <w:r w:rsidRPr="00FD4BBF">
        <w:rPr>
          <w:i/>
          <w:lang w:val="sr-Latn-RS"/>
        </w:rPr>
        <w:t>Water treeing – the behaviour of water trees in extruded cable insulation</w:t>
      </w:r>
      <w:r w:rsidRPr="00FD4BBF">
        <w:rPr>
          <w:lang w:val="sr-Latn-RS"/>
        </w:rPr>
        <w:t>, 1989.</w:t>
      </w:r>
    </w:p>
    <w:p w14:paraId="282174C5" w14:textId="3871CE9E" w:rsidR="00FD4BBF" w:rsidRDefault="00FD4BBF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>
        <w:rPr>
          <w:lang w:val="sr-Latn-RS"/>
        </w:rPr>
        <w:t>T.</w:t>
      </w:r>
      <w:r w:rsidRPr="00EE3B63">
        <w:rPr>
          <w:lang w:val="sr-Latn-RS"/>
        </w:rPr>
        <w:t xml:space="preserve"> Toyoda, S. Mukai, Y. Ohki, Y. Li, T. </w:t>
      </w:r>
      <w:r>
        <w:rPr>
          <w:lang w:val="sr-Latn-RS"/>
        </w:rPr>
        <w:t xml:space="preserve">Maeno, </w:t>
      </w:r>
      <w:r w:rsidRPr="00EE3B63">
        <w:rPr>
          <w:i/>
          <w:lang w:val="sr-Latn-RS"/>
        </w:rPr>
        <w:t>Estimation of conductivity and permittivity of water trees in PE from space charge distribution measurements</w:t>
      </w:r>
      <w:r>
        <w:rPr>
          <w:lang w:val="sr-Latn-RS"/>
        </w:rPr>
        <w:t>, IEEE Transaction</w:t>
      </w:r>
      <w:r w:rsidRPr="00EE3B63">
        <w:rPr>
          <w:lang w:val="sr-Latn-RS"/>
        </w:rPr>
        <w:t xml:space="preserve"> on Dielect</w:t>
      </w:r>
      <w:r>
        <w:rPr>
          <w:lang w:val="sr-Latn-RS"/>
        </w:rPr>
        <w:t>rics and Electrical Insulation,</w:t>
      </w:r>
      <w:r w:rsidRPr="00EE3B63">
        <w:rPr>
          <w:lang w:val="sr-Latn-RS"/>
        </w:rPr>
        <w:t xml:space="preserve"> 2001</w:t>
      </w:r>
      <w:r w:rsidR="008F6B36">
        <w:rPr>
          <w:lang w:val="sr-Latn-RS"/>
        </w:rPr>
        <w:t xml:space="preserve">, pp. </w:t>
      </w:r>
      <w:r w:rsidR="00AC56EC">
        <w:rPr>
          <w:lang w:val="sr-Latn-RS"/>
        </w:rPr>
        <w:t>111-116</w:t>
      </w:r>
    </w:p>
    <w:p w14:paraId="6729E0A6" w14:textId="4395DA63" w:rsidR="006C0E89" w:rsidRDefault="00FD4BBF" w:rsidP="00F312A2">
      <w:pPr>
        <w:pStyle w:val="ListParagraph"/>
        <w:numPr>
          <w:ilvl w:val="0"/>
          <w:numId w:val="1"/>
        </w:numPr>
        <w:ind w:left="426" w:hanging="426"/>
        <w:jc w:val="left"/>
        <w:rPr>
          <w:lang w:val="sr-Latn-RS"/>
        </w:rPr>
      </w:pPr>
      <w:r>
        <w:t xml:space="preserve">M. </w:t>
      </w:r>
      <w:r w:rsidRPr="0077272B">
        <w:rPr>
          <w:lang w:val="sr-Latn-RS"/>
        </w:rPr>
        <w:t xml:space="preserve">Acedo, I. Radu, F. Frutos, J.C. Filippini, P. Notingher, </w:t>
      </w:r>
      <w:r w:rsidRPr="0077272B">
        <w:rPr>
          <w:i/>
          <w:lang w:val="sr-Latn-RS"/>
        </w:rPr>
        <w:t>Water treeing in underground power cables: modelling of the trees and calculation of the electric field perturbation</w:t>
      </w:r>
      <w:r>
        <w:t>, Journal of Electrostatics, 2001</w:t>
      </w:r>
      <w:r w:rsidR="008F6B36">
        <w:t>, pp.</w:t>
      </w:r>
      <w:r w:rsidR="00AC56EC" w:rsidRPr="00AC56EC">
        <w:rPr>
          <w:lang w:val="sr-Latn-RS"/>
        </w:rPr>
        <w:t xml:space="preserve"> </w:t>
      </w:r>
      <w:r w:rsidR="00AC56EC">
        <w:rPr>
          <w:lang w:val="sr-Latn-RS"/>
        </w:rPr>
        <w:t>267-294</w:t>
      </w:r>
    </w:p>
    <w:p w14:paraId="66E7D0B8" w14:textId="77777777" w:rsidR="00CD733A" w:rsidRPr="0077272B" w:rsidRDefault="00CD733A" w:rsidP="00CD733A">
      <w:pPr>
        <w:pStyle w:val="ListParagraph"/>
        <w:spacing w:before="60"/>
        <w:ind w:left="426"/>
        <w:rPr>
          <w:szCs w:val="20"/>
          <w:lang w:val="sr-Latn-RS"/>
        </w:rPr>
      </w:pPr>
    </w:p>
    <w:tbl>
      <w:tblPr>
        <w:tblStyle w:val="TableGrid"/>
        <w:tblW w:w="4827" w:type="dxa"/>
        <w:jc w:val="center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3618"/>
      </w:tblGrid>
      <w:tr w:rsidR="002733F7" w14:paraId="61E3D533" w14:textId="4210BD84" w:rsidTr="00F312A2">
        <w:trPr>
          <w:trHeight w:val="1621"/>
          <w:jc w:val="center"/>
        </w:trPr>
        <w:tc>
          <w:tcPr>
            <w:tcW w:w="1209" w:type="dxa"/>
          </w:tcPr>
          <w:p w14:paraId="18527871" w14:textId="6C684636" w:rsidR="002733F7" w:rsidRDefault="002733F7" w:rsidP="00F312A2">
            <w:pPr>
              <w:tabs>
                <w:tab w:val="left" w:pos="1267"/>
              </w:tabs>
              <w:spacing w:before="120"/>
              <w:jc w:val="left"/>
              <w:rPr>
                <w:rFonts w:ascii="Times New Roman" w:eastAsia="Times New Roman" w:hAnsi="Times New Roman" w:cs="Times New Roman"/>
                <w:b/>
                <w:iCs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Cs w:val="20"/>
                <w:lang w:val="sr-Latn-RS" w:eastAsia="sr-Latn-RS"/>
              </w:rPr>
              <w:drawing>
                <wp:inline distT="0" distB="0" distL="0" distR="0" wp14:anchorId="775A7721" wp14:editId="1173B609">
                  <wp:extent cx="720000" cy="95841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leksandra Visnjic foto BW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 t="6124" r="2474"/>
                          <a:stretch/>
                        </pic:blipFill>
                        <pic:spPr bwMode="auto">
                          <a:xfrm>
                            <a:off x="0" y="0"/>
                            <a:ext cx="720000" cy="958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199E1342" w14:textId="77777777" w:rsidR="008F6B36" w:rsidRPr="00F312A2" w:rsidRDefault="008F6B36" w:rsidP="00F312A2">
            <w:pPr>
              <w:tabs>
                <w:tab w:val="left" w:pos="1267"/>
              </w:tabs>
              <w:spacing w:before="120"/>
              <w:jc w:val="left"/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</w:rPr>
            </w:pPr>
            <w:r w:rsidRPr="00F312A2">
              <w:rPr>
                <w:rFonts w:ascii="Times New Roman" w:eastAsia="Times New Roman" w:hAnsi="Times New Roman" w:cs="Times New Roman"/>
                <w:b/>
                <w:iCs/>
                <w:noProof/>
                <w:sz w:val="18"/>
                <w:szCs w:val="18"/>
              </w:rPr>
              <w:t xml:space="preserve">Aleksandra Višnjić, </w:t>
            </w:r>
            <w:r w:rsidRPr="00F312A2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</w:rPr>
              <w:t>rođena je 1995. godine u Štutgartu (Nemačka). Master rad na Fakultetu tehničkih nauka iz oblasti Elektrotehnika i računarstvo – Energetska elektronika i električne mašine je odbranila 2022. godine.</w:t>
            </w:r>
          </w:p>
          <w:p w14:paraId="174337EA" w14:textId="7D94B5AE" w:rsidR="002733F7" w:rsidRPr="00F312A2" w:rsidRDefault="00CD733A" w:rsidP="00F312A2">
            <w:pPr>
              <w:tabs>
                <w:tab w:val="left" w:pos="1267"/>
              </w:tabs>
              <w:spacing w:before="120"/>
              <w:jc w:val="left"/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</w:rPr>
            </w:pPr>
            <w:r w:rsidRPr="00F312A2">
              <w:rPr>
                <w:rFonts w:ascii="Times New Roman" w:eastAsia="Times New Roman" w:hAnsi="Times New Roman" w:cs="Times New Roman"/>
                <w:iCs/>
                <w:noProof/>
                <w:sz w:val="18"/>
                <w:szCs w:val="18"/>
              </w:rPr>
              <w:t>Kontakt:</w:t>
            </w:r>
            <w:hyperlink r:id="rId21" w:history="1">
              <w:r w:rsidR="003F60E6" w:rsidRPr="00F312A2">
                <w:rPr>
                  <w:rStyle w:val="Hyperlink"/>
                  <w:rFonts w:ascii="Times New Roman" w:eastAsia="Times New Roman" w:hAnsi="Times New Roman" w:cs="Times New Roman"/>
                  <w:iCs/>
                  <w:noProof/>
                  <w:sz w:val="18"/>
                  <w:szCs w:val="18"/>
                </w:rPr>
                <w:t>aleksandra.g.visnjic@gmail.com</w:t>
              </w:r>
            </w:hyperlink>
          </w:p>
        </w:tc>
      </w:tr>
      <w:tr w:rsidR="002733F7" w14:paraId="6071756F" w14:textId="77777777" w:rsidTr="00F312A2">
        <w:trPr>
          <w:trHeight w:val="1871"/>
          <w:jc w:val="center"/>
        </w:trPr>
        <w:tc>
          <w:tcPr>
            <w:tcW w:w="1209" w:type="dxa"/>
          </w:tcPr>
          <w:p w14:paraId="7C76F2C5" w14:textId="746A0F50" w:rsidR="002733F7" w:rsidRDefault="002733F7" w:rsidP="00F312A2">
            <w:pPr>
              <w:spacing w:before="120"/>
              <w:ind w:right="-117"/>
              <w:jc w:val="left"/>
              <w:rPr>
                <w:rFonts w:ascii="Times New Roman" w:eastAsia="Times New Roman" w:hAnsi="Times New Roman" w:cs="Times New Roman"/>
                <w:b/>
                <w:iCs/>
                <w:szCs w:val="20"/>
                <w:lang w:val="sr-Latn-CS"/>
              </w:rPr>
            </w:pPr>
            <w:r w:rsidRPr="0011795C">
              <w:rPr>
                <w:noProof/>
                <w:lang w:val="sr-Latn-RS" w:eastAsia="sr-Latn-RS"/>
              </w:rPr>
              <w:drawing>
                <wp:inline distT="0" distB="0" distL="0" distR="0" wp14:anchorId="23DA61A8" wp14:editId="31F011D5">
                  <wp:extent cx="720000" cy="1014224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61" t="5612" r="7564" b="17953"/>
                          <a:stretch/>
                        </pic:blipFill>
                        <pic:spPr bwMode="auto">
                          <a:xfrm>
                            <a:off x="0" y="0"/>
                            <a:ext cx="720000" cy="101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</w:tcPr>
          <w:p w14:paraId="545BA14D" w14:textId="4D0AD65C" w:rsidR="008F6B36" w:rsidRPr="00F312A2" w:rsidRDefault="008F6B36" w:rsidP="00F312A2">
            <w:pPr>
              <w:spacing w:before="120"/>
              <w:jc w:val="left"/>
              <w:rPr>
                <w:rFonts w:eastAsiaTheme="minorEastAsia"/>
                <w:sz w:val="18"/>
                <w:szCs w:val="18"/>
                <w:lang w:val="sr-Latn-RS"/>
              </w:rPr>
            </w:pPr>
            <w:r w:rsidRPr="00F312A2">
              <w:rPr>
                <w:rFonts w:eastAsiaTheme="minorEastAsia"/>
                <w:b/>
                <w:sz w:val="18"/>
                <w:szCs w:val="18"/>
                <w:lang w:val="sr-Latn-RS"/>
              </w:rPr>
              <w:t>Karolina Kasaš-Lažetić</w:t>
            </w:r>
            <w:r w:rsidRPr="00F312A2">
              <w:rPr>
                <w:rFonts w:eastAsiaTheme="minorEastAsia"/>
                <w:sz w:val="18"/>
                <w:szCs w:val="18"/>
                <w:lang w:val="sr-Latn-RS"/>
              </w:rPr>
              <w:t xml:space="preserve"> rođena je u No</w:t>
            </w:r>
            <w:bookmarkStart w:id="0" w:name="_GoBack"/>
            <w:bookmarkEnd w:id="0"/>
            <w:r w:rsidRPr="00F312A2">
              <w:rPr>
                <w:rFonts w:eastAsiaTheme="minorEastAsia"/>
                <w:sz w:val="18"/>
                <w:szCs w:val="18"/>
                <w:lang w:val="sr-Latn-RS"/>
              </w:rPr>
              <w:t xml:space="preserve">vom Sadu. Doktorirala je na na Fakultetu tehničkih nauka iz oblasti Elektrotehnike i računarstva. </w:t>
            </w:r>
          </w:p>
          <w:p w14:paraId="7F06E8CF" w14:textId="00F3DD4F" w:rsidR="002733F7" w:rsidRPr="00F312A2" w:rsidRDefault="008F6B36" w:rsidP="00F312A2">
            <w:pPr>
              <w:spacing w:before="120"/>
              <w:jc w:val="left"/>
              <w:rPr>
                <w:sz w:val="18"/>
                <w:szCs w:val="18"/>
                <w:lang w:val="sr-Latn-RS"/>
              </w:rPr>
            </w:pPr>
            <w:r w:rsidRPr="00F312A2">
              <w:rPr>
                <w:rFonts w:eastAsiaTheme="minorEastAsia"/>
                <w:sz w:val="18"/>
                <w:szCs w:val="18"/>
                <w:lang w:val="sr-Latn-RS"/>
              </w:rPr>
              <w:t>Oblast interesovanja je</w:t>
            </w:r>
            <w:r w:rsidR="006D0B49" w:rsidRPr="00F312A2">
              <w:rPr>
                <w:rFonts w:eastAsiaTheme="minorEastAsia"/>
                <w:sz w:val="18"/>
                <w:szCs w:val="18"/>
                <w:lang w:val="sr-Latn-RS"/>
              </w:rPr>
              <w:t xml:space="preserve"> teorijska i </w:t>
            </w:r>
            <w:r w:rsidRPr="00F312A2">
              <w:rPr>
                <w:rFonts w:eastAsiaTheme="minorEastAsia"/>
                <w:sz w:val="18"/>
                <w:szCs w:val="18"/>
                <w:lang w:val="sr-Latn-RS"/>
              </w:rPr>
              <w:t>primenjena elektromagnetika.</w:t>
            </w:r>
          </w:p>
        </w:tc>
      </w:tr>
    </w:tbl>
    <w:p w14:paraId="42B52572" w14:textId="17E18B01" w:rsidR="00987C34" w:rsidRPr="0077272B" w:rsidRDefault="00987C34" w:rsidP="00F312A2">
      <w:pPr>
        <w:rPr>
          <w:sz w:val="10"/>
          <w:szCs w:val="10"/>
          <w:lang w:val="sr-Latn-RS"/>
        </w:rPr>
      </w:pPr>
    </w:p>
    <w:sectPr w:rsidR="00987C34" w:rsidRPr="0077272B" w:rsidSect="00B065A0">
      <w:type w:val="continuous"/>
      <w:pgSz w:w="11906" w:h="16838"/>
      <w:pgMar w:top="1134" w:right="1134" w:bottom="1134" w:left="1134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B55FF" w14:textId="77777777" w:rsidR="000735CC" w:rsidRDefault="000735CC" w:rsidP="00FC7D81">
      <w:r>
        <w:separator/>
      </w:r>
    </w:p>
  </w:endnote>
  <w:endnote w:type="continuationSeparator" w:id="0">
    <w:p w14:paraId="61D62ACC" w14:textId="77777777" w:rsidR="000735CC" w:rsidRDefault="000735CC" w:rsidP="00FC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8DF4D" w14:textId="77777777" w:rsidR="000735CC" w:rsidRDefault="000735CC" w:rsidP="00FC7D81">
      <w:r>
        <w:separator/>
      </w:r>
    </w:p>
  </w:footnote>
  <w:footnote w:type="continuationSeparator" w:id="0">
    <w:p w14:paraId="7A50A494" w14:textId="77777777" w:rsidR="000735CC" w:rsidRDefault="000735CC" w:rsidP="00FC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73D"/>
    <w:multiLevelType w:val="hybridMultilevel"/>
    <w:tmpl w:val="BA722EE4"/>
    <w:lvl w:ilvl="0" w:tplc="32C6327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F7BB2"/>
    <w:multiLevelType w:val="hybridMultilevel"/>
    <w:tmpl w:val="1EE213C6"/>
    <w:lvl w:ilvl="0" w:tplc="D6DAE1FA">
      <w:start w:val="1"/>
      <w:numFmt w:val="decimal"/>
      <w:lvlText w:val="[%1]"/>
      <w:lvlJc w:val="left"/>
      <w:pPr>
        <w:ind w:left="135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80"/>
    <w:rsid w:val="000036B8"/>
    <w:rsid w:val="00003F56"/>
    <w:rsid w:val="00010D09"/>
    <w:rsid w:val="0001108F"/>
    <w:rsid w:val="000150F4"/>
    <w:rsid w:val="000232EC"/>
    <w:rsid w:val="0003540A"/>
    <w:rsid w:val="00042AD7"/>
    <w:rsid w:val="00050E98"/>
    <w:rsid w:val="00052D21"/>
    <w:rsid w:val="00054E31"/>
    <w:rsid w:val="0005557B"/>
    <w:rsid w:val="000623F3"/>
    <w:rsid w:val="00064582"/>
    <w:rsid w:val="0006502C"/>
    <w:rsid w:val="000735CC"/>
    <w:rsid w:val="000745F7"/>
    <w:rsid w:val="000749FA"/>
    <w:rsid w:val="00076859"/>
    <w:rsid w:val="00083615"/>
    <w:rsid w:val="00085977"/>
    <w:rsid w:val="00094465"/>
    <w:rsid w:val="00097B9F"/>
    <w:rsid w:val="000A054E"/>
    <w:rsid w:val="000A23DC"/>
    <w:rsid w:val="000A548F"/>
    <w:rsid w:val="000A7A47"/>
    <w:rsid w:val="000B1BB7"/>
    <w:rsid w:val="000B2B7A"/>
    <w:rsid w:val="000C0EB3"/>
    <w:rsid w:val="000C0F6C"/>
    <w:rsid w:val="000C2323"/>
    <w:rsid w:val="000C44FC"/>
    <w:rsid w:val="000C7C19"/>
    <w:rsid w:val="000D5650"/>
    <w:rsid w:val="000D61E2"/>
    <w:rsid w:val="000E126F"/>
    <w:rsid w:val="000E2465"/>
    <w:rsid w:val="000E2F4C"/>
    <w:rsid w:val="000E37F3"/>
    <w:rsid w:val="000F44B6"/>
    <w:rsid w:val="000F6BE7"/>
    <w:rsid w:val="00100237"/>
    <w:rsid w:val="0010207E"/>
    <w:rsid w:val="00105922"/>
    <w:rsid w:val="00105ADD"/>
    <w:rsid w:val="00105B54"/>
    <w:rsid w:val="0010655C"/>
    <w:rsid w:val="001065B2"/>
    <w:rsid w:val="001106A1"/>
    <w:rsid w:val="0011460E"/>
    <w:rsid w:val="0011795C"/>
    <w:rsid w:val="00120FCD"/>
    <w:rsid w:val="00124C8A"/>
    <w:rsid w:val="00126967"/>
    <w:rsid w:val="0013502C"/>
    <w:rsid w:val="00136518"/>
    <w:rsid w:val="001415E9"/>
    <w:rsid w:val="001470E2"/>
    <w:rsid w:val="0015030C"/>
    <w:rsid w:val="001551B1"/>
    <w:rsid w:val="00155BCE"/>
    <w:rsid w:val="001571C9"/>
    <w:rsid w:val="001632D6"/>
    <w:rsid w:val="00163D08"/>
    <w:rsid w:val="00175103"/>
    <w:rsid w:val="00176A89"/>
    <w:rsid w:val="00181128"/>
    <w:rsid w:val="00184D8F"/>
    <w:rsid w:val="001870A2"/>
    <w:rsid w:val="00187B9C"/>
    <w:rsid w:val="0019258F"/>
    <w:rsid w:val="00192A6B"/>
    <w:rsid w:val="00194268"/>
    <w:rsid w:val="00196743"/>
    <w:rsid w:val="0019764E"/>
    <w:rsid w:val="001A0315"/>
    <w:rsid w:val="001A1190"/>
    <w:rsid w:val="001A44C7"/>
    <w:rsid w:val="001B26B3"/>
    <w:rsid w:val="001C16A8"/>
    <w:rsid w:val="001C235B"/>
    <w:rsid w:val="001C67FA"/>
    <w:rsid w:val="001C724A"/>
    <w:rsid w:val="001D52F8"/>
    <w:rsid w:val="001E1464"/>
    <w:rsid w:val="001E5983"/>
    <w:rsid w:val="001E6955"/>
    <w:rsid w:val="001E6B38"/>
    <w:rsid w:val="001F0244"/>
    <w:rsid w:val="001F2E15"/>
    <w:rsid w:val="001F3675"/>
    <w:rsid w:val="001F58A6"/>
    <w:rsid w:val="00201C73"/>
    <w:rsid w:val="00203C31"/>
    <w:rsid w:val="00214CDF"/>
    <w:rsid w:val="00217FB6"/>
    <w:rsid w:val="0022246C"/>
    <w:rsid w:val="0023405E"/>
    <w:rsid w:val="00235336"/>
    <w:rsid w:val="00236522"/>
    <w:rsid w:val="00245755"/>
    <w:rsid w:val="00247C7E"/>
    <w:rsid w:val="002506EE"/>
    <w:rsid w:val="002551D4"/>
    <w:rsid w:val="0026382D"/>
    <w:rsid w:val="00264D78"/>
    <w:rsid w:val="00264F36"/>
    <w:rsid w:val="00272504"/>
    <w:rsid w:val="002733F7"/>
    <w:rsid w:val="002746BD"/>
    <w:rsid w:val="00280C22"/>
    <w:rsid w:val="002839E8"/>
    <w:rsid w:val="0028631D"/>
    <w:rsid w:val="00287828"/>
    <w:rsid w:val="00290192"/>
    <w:rsid w:val="00291862"/>
    <w:rsid w:val="00294504"/>
    <w:rsid w:val="00294DCF"/>
    <w:rsid w:val="00297FA4"/>
    <w:rsid w:val="002A1047"/>
    <w:rsid w:val="002A7442"/>
    <w:rsid w:val="002A7DA6"/>
    <w:rsid w:val="002B662B"/>
    <w:rsid w:val="002C476E"/>
    <w:rsid w:val="002D1F1B"/>
    <w:rsid w:val="002D6420"/>
    <w:rsid w:val="002D6DA8"/>
    <w:rsid w:val="002E2DB0"/>
    <w:rsid w:val="002E45AF"/>
    <w:rsid w:val="002E6D0A"/>
    <w:rsid w:val="002E6F78"/>
    <w:rsid w:val="002E7FE7"/>
    <w:rsid w:val="002F2082"/>
    <w:rsid w:val="002F6681"/>
    <w:rsid w:val="002F7DF1"/>
    <w:rsid w:val="00304697"/>
    <w:rsid w:val="00312BB8"/>
    <w:rsid w:val="00324A4F"/>
    <w:rsid w:val="003302F5"/>
    <w:rsid w:val="0033123D"/>
    <w:rsid w:val="00333E0F"/>
    <w:rsid w:val="00336AE4"/>
    <w:rsid w:val="003403B7"/>
    <w:rsid w:val="00341589"/>
    <w:rsid w:val="00351A9E"/>
    <w:rsid w:val="00354089"/>
    <w:rsid w:val="0036140B"/>
    <w:rsid w:val="00361FAD"/>
    <w:rsid w:val="00365D27"/>
    <w:rsid w:val="00366EA3"/>
    <w:rsid w:val="003670C7"/>
    <w:rsid w:val="00367D7A"/>
    <w:rsid w:val="00370547"/>
    <w:rsid w:val="00373731"/>
    <w:rsid w:val="00376C99"/>
    <w:rsid w:val="00377485"/>
    <w:rsid w:val="0038040F"/>
    <w:rsid w:val="00382C7C"/>
    <w:rsid w:val="003844EC"/>
    <w:rsid w:val="00387DB2"/>
    <w:rsid w:val="003904A9"/>
    <w:rsid w:val="00390EFF"/>
    <w:rsid w:val="00391BD3"/>
    <w:rsid w:val="00395FBB"/>
    <w:rsid w:val="003A191A"/>
    <w:rsid w:val="003A1A22"/>
    <w:rsid w:val="003A2F10"/>
    <w:rsid w:val="003A4751"/>
    <w:rsid w:val="003A5E03"/>
    <w:rsid w:val="003A61A9"/>
    <w:rsid w:val="003A656A"/>
    <w:rsid w:val="003A799F"/>
    <w:rsid w:val="003B13F3"/>
    <w:rsid w:val="003B40FC"/>
    <w:rsid w:val="003B5090"/>
    <w:rsid w:val="003B6B22"/>
    <w:rsid w:val="003C1846"/>
    <w:rsid w:val="003C22B9"/>
    <w:rsid w:val="003C6558"/>
    <w:rsid w:val="003D3CE6"/>
    <w:rsid w:val="003D4699"/>
    <w:rsid w:val="003E20DC"/>
    <w:rsid w:val="003E67B7"/>
    <w:rsid w:val="003E714D"/>
    <w:rsid w:val="003E7F2C"/>
    <w:rsid w:val="003F2829"/>
    <w:rsid w:val="003F3BFB"/>
    <w:rsid w:val="003F521B"/>
    <w:rsid w:val="003F56DA"/>
    <w:rsid w:val="003F60E6"/>
    <w:rsid w:val="004051B1"/>
    <w:rsid w:val="0041525A"/>
    <w:rsid w:val="00421D89"/>
    <w:rsid w:val="00427A31"/>
    <w:rsid w:val="004336FC"/>
    <w:rsid w:val="0043773F"/>
    <w:rsid w:val="004411DE"/>
    <w:rsid w:val="004447B2"/>
    <w:rsid w:val="00452145"/>
    <w:rsid w:val="004526C2"/>
    <w:rsid w:val="0045394B"/>
    <w:rsid w:val="00456FC3"/>
    <w:rsid w:val="0046675E"/>
    <w:rsid w:val="00471922"/>
    <w:rsid w:val="004738B3"/>
    <w:rsid w:val="00475626"/>
    <w:rsid w:val="00476F65"/>
    <w:rsid w:val="00480E52"/>
    <w:rsid w:val="00484E2F"/>
    <w:rsid w:val="00491588"/>
    <w:rsid w:val="00495A14"/>
    <w:rsid w:val="00495AD3"/>
    <w:rsid w:val="0049778F"/>
    <w:rsid w:val="004A12D8"/>
    <w:rsid w:val="004A4006"/>
    <w:rsid w:val="004A41FF"/>
    <w:rsid w:val="004A5258"/>
    <w:rsid w:val="004A77B2"/>
    <w:rsid w:val="004A7CC9"/>
    <w:rsid w:val="004B43E7"/>
    <w:rsid w:val="004B5BEF"/>
    <w:rsid w:val="004C2060"/>
    <w:rsid w:val="004C222D"/>
    <w:rsid w:val="004C3A3C"/>
    <w:rsid w:val="004C57A6"/>
    <w:rsid w:val="004C5B2E"/>
    <w:rsid w:val="004C68E2"/>
    <w:rsid w:val="004E1D43"/>
    <w:rsid w:val="004E1E5F"/>
    <w:rsid w:val="004E4E06"/>
    <w:rsid w:val="004E5992"/>
    <w:rsid w:val="004E5B25"/>
    <w:rsid w:val="004E6E8E"/>
    <w:rsid w:val="004E70A2"/>
    <w:rsid w:val="004F0606"/>
    <w:rsid w:val="004F2FF4"/>
    <w:rsid w:val="004F4769"/>
    <w:rsid w:val="004F768B"/>
    <w:rsid w:val="00501B99"/>
    <w:rsid w:val="0050560D"/>
    <w:rsid w:val="00511B9F"/>
    <w:rsid w:val="0051579C"/>
    <w:rsid w:val="00516696"/>
    <w:rsid w:val="00524F4F"/>
    <w:rsid w:val="00526A09"/>
    <w:rsid w:val="00527944"/>
    <w:rsid w:val="00532E56"/>
    <w:rsid w:val="005355C3"/>
    <w:rsid w:val="00540272"/>
    <w:rsid w:val="00540460"/>
    <w:rsid w:val="0054341D"/>
    <w:rsid w:val="00545859"/>
    <w:rsid w:val="0054614D"/>
    <w:rsid w:val="00551FBA"/>
    <w:rsid w:val="005570A6"/>
    <w:rsid w:val="00563C69"/>
    <w:rsid w:val="00570120"/>
    <w:rsid w:val="00572156"/>
    <w:rsid w:val="005743A0"/>
    <w:rsid w:val="00575D0A"/>
    <w:rsid w:val="00575FAC"/>
    <w:rsid w:val="005772EF"/>
    <w:rsid w:val="00582B28"/>
    <w:rsid w:val="00583F27"/>
    <w:rsid w:val="0058638A"/>
    <w:rsid w:val="00592A40"/>
    <w:rsid w:val="00593CE1"/>
    <w:rsid w:val="005A1779"/>
    <w:rsid w:val="005A1E8F"/>
    <w:rsid w:val="005A65FD"/>
    <w:rsid w:val="005A67A9"/>
    <w:rsid w:val="005A752E"/>
    <w:rsid w:val="005B15A4"/>
    <w:rsid w:val="005B2206"/>
    <w:rsid w:val="005B45B1"/>
    <w:rsid w:val="005B4C1A"/>
    <w:rsid w:val="005C38BC"/>
    <w:rsid w:val="005D04D0"/>
    <w:rsid w:val="005D1D98"/>
    <w:rsid w:val="005D5AA0"/>
    <w:rsid w:val="005F404D"/>
    <w:rsid w:val="00606787"/>
    <w:rsid w:val="0061186F"/>
    <w:rsid w:val="00611AEC"/>
    <w:rsid w:val="006122AC"/>
    <w:rsid w:val="006142C5"/>
    <w:rsid w:val="00617A38"/>
    <w:rsid w:val="00620637"/>
    <w:rsid w:val="00621D9D"/>
    <w:rsid w:val="006220CB"/>
    <w:rsid w:val="00627374"/>
    <w:rsid w:val="00627BDD"/>
    <w:rsid w:val="00631D88"/>
    <w:rsid w:val="00634691"/>
    <w:rsid w:val="006360A6"/>
    <w:rsid w:val="00650870"/>
    <w:rsid w:val="00654FBE"/>
    <w:rsid w:val="00660A7E"/>
    <w:rsid w:val="00660E62"/>
    <w:rsid w:val="00665D26"/>
    <w:rsid w:val="0066681C"/>
    <w:rsid w:val="00666CB9"/>
    <w:rsid w:val="00667B79"/>
    <w:rsid w:val="00667BA5"/>
    <w:rsid w:val="006703F5"/>
    <w:rsid w:val="00672D9C"/>
    <w:rsid w:val="00673852"/>
    <w:rsid w:val="00674C81"/>
    <w:rsid w:val="006753D5"/>
    <w:rsid w:val="0068266A"/>
    <w:rsid w:val="00682FB4"/>
    <w:rsid w:val="00685591"/>
    <w:rsid w:val="00687DE8"/>
    <w:rsid w:val="00690531"/>
    <w:rsid w:val="00691BFB"/>
    <w:rsid w:val="006A0B20"/>
    <w:rsid w:val="006A1BFB"/>
    <w:rsid w:val="006B2DA6"/>
    <w:rsid w:val="006B63CE"/>
    <w:rsid w:val="006B6967"/>
    <w:rsid w:val="006C0E89"/>
    <w:rsid w:val="006C51EF"/>
    <w:rsid w:val="006D0B49"/>
    <w:rsid w:val="006D262E"/>
    <w:rsid w:val="006E5CDF"/>
    <w:rsid w:val="006F1916"/>
    <w:rsid w:val="006F2A30"/>
    <w:rsid w:val="006F54D4"/>
    <w:rsid w:val="006F6BC8"/>
    <w:rsid w:val="006F7F4A"/>
    <w:rsid w:val="00724237"/>
    <w:rsid w:val="007255EE"/>
    <w:rsid w:val="00726890"/>
    <w:rsid w:val="007336B0"/>
    <w:rsid w:val="00740BFD"/>
    <w:rsid w:val="00741B2E"/>
    <w:rsid w:val="00753246"/>
    <w:rsid w:val="00760603"/>
    <w:rsid w:val="007672AA"/>
    <w:rsid w:val="0077272B"/>
    <w:rsid w:val="0077601F"/>
    <w:rsid w:val="007766A8"/>
    <w:rsid w:val="007767AD"/>
    <w:rsid w:val="00780BBD"/>
    <w:rsid w:val="007857A5"/>
    <w:rsid w:val="00785ECD"/>
    <w:rsid w:val="007862D4"/>
    <w:rsid w:val="00791467"/>
    <w:rsid w:val="0079162C"/>
    <w:rsid w:val="00791734"/>
    <w:rsid w:val="007919FA"/>
    <w:rsid w:val="00791A44"/>
    <w:rsid w:val="00792361"/>
    <w:rsid w:val="007A1683"/>
    <w:rsid w:val="007A2067"/>
    <w:rsid w:val="007A59CA"/>
    <w:rsid w:val="007A7C52"/>
    <w:rsid w:val="007B1747"/>
    <w:rsid w:val="007B1C6C"/>
    <w:rsid w:val="007B5152"/>
    <w:rsid w:val="007B6F34"/>
    <w:rsid w:val="007C0FA6"/>
    <w:rsid w:val="007C3BBA"/>
    <w:rsid w:val="007D3179"/>
    <w:rsid w:val="007D3FB6"/>
    <w:rsid w:val="007D47BB"/>
    <w:rsid w:val="007E0D9F"/>
    <w:rsid w:val="007E51C1"/>
    <w:rsid w:val="007E54BB"/>
    <w:rsid w:val="007F0EF1"/>
    <w:rsid w:val="007F2DA6"/>
    <w:rsid w:val="007F5075"/>
    <w:rsid w:val="007F50B9"/>
    <w:rsid w:val="00801C00"/>
    <w:rsid w:val="00802D06"/>
    <w:rsid w:val="00802F61"/>
    <w:rsid w:val="0080623B"/>
    <w:rsid w:val="008109EA"/>
    <w:rsid w:val="00811E10"/>
    <w:rsid w:val="00813FBD"/>
    <w:rsid w:val="00816E3C"/>
    <w:rsid w:val="00821C7F"/>
    <w:rsid w:val="00822FDC"/>
    <w:rsid w:val="00824DB0"/>
    <w:rsid w:val="00833E2C"/>
    <w:rsid w:val="008362F7"/>
    <w:rsid w:val="008418C9"/>
    <w:rsid w:val="00841B25"/>
    <w:rsid w:val="00844815"/>
    <w:rsid w:val="008463AD"/>
    <w:rsid w:val="00846F6C"/>
    <w:rsid w:val="00850AA0"/>
    <w:rsid w:val="0085240F"/>
    <w:rsid w:val="00852531"/>
    <w:rsid w:val="008529BA"/>
    <w:rsid w:val="00854BB9"/>
    <w:rsid w:val="008573FB"/>
    <w:rsid w:val="008622C4"/>
    <w:rsid w:val="00870DC3"/>
    <w:rsid w:val="00871C13"/>
    <w:rsid w:val="00871C71"/>
    <w:rsid w:val="00875F2C"/>
    <w:rsid w:val="00877B03"/>
    <w:rsid w:val="00880C6E"/>
    <w:rsid w:val="00881D83"/>
    <w:rsid w:val="00886EA6"/>
    <w:rsid w:val="00887C2F"/>
    <w:rsid w:val="00890AC8"/>
    <w:rsid w:val="008932AB"/>
    <w:rsid w:val="008947E5"/>
    <w:rsid w:val="00894DBE"/>
    <w:rsid w:val="0089505E"/>
    <w:rsid w:val="008A35B4"/>
    <w:rsid w:val="008A38E3"/>
    <w:rsid w:val="008B0A86"/>
    <w:rsid w:val="008B4593"/>
    <w:rsid w:val="008C0172"/>
    <w:rsid w:val="008C451F"/>
    <w:rsid w:val="008C69CC"/>
    <w:rsid w:val="008C729E"/>
    <w:rsid w:val="008D12CD"/>
    <w:rsid w:val="008D1BA9"/>
    <w:rsid w:val="008D218D"/>
    <w:rsid w:val="008E273A"/>
    <w:rsid w:val="008E459F"/>
    <w:rsid w:val="008E4F48"/>
    <w:rsid w:val="008F0719"/>
    <w:rsid w:val="008F18CC"/>
    <w:rsid w:val="008F6635"/>
    <w:rsid w:val="008F6B36"/>
    <w:rsid w:val="00900706"/>
    <w:rsid w:val="009026DF"/>
    <w:rsid w:val="00902C94"/>
    <w:rsid w:val="009068DF"/>
    <w:rsid w:val="00906AFB"/>
    <w:rsid w:val="009156FD"/>
    <w:rsid w:val="009171BD"/>
    <w:rsid w:val="00917573"/>
    <w:rsid w:val="00921E42"/>
    <w:rsid w:val="00932B56"/>
    <w:rsid w:val="009331F9"/>
    <w:rsid w:val="00935BF9"/>
    <w:rsid w:val="00935C63"/>
    <w:rsid w:val="0094242C"/>
    <w:rsid w:val="009433C5"/>
    <w:rsid w:val="009461FB"/>
    <w:rsid w:val="00947389"/>
    <w:rsid w:val="00952C1A"/>
    <w:rsid w:val="00954282"/>
    <w:rsid w:val="0095448D"/>
    <w:rsid w:val="00956F22"/>
    <w:rsid w:val="00960E85"/>
    <w:rsid w:val="009625D4"/>
    <w:rsid w:val="00963A61"/>
    <w:rsid w:val="009660BE"/>
    <w:rsid w:val="0098463A"/>
    <w:rsid w:val="00987C34"/>
    <w:rsid w:val="0099586C"/>
    <w:rsid w:val="00996AE8"/>
    <w:rsid w:val="009A3C91"/>
    <w:rsid w:val="009A75E3"/>
    <w:rsid w:val="009B427D"/>
    <w:rsid w:val="009C05D4"/>
    <w:rsid w:val="009C22AB"/>
    <w:rsid w:val="009C697A"/>
    <w:rsid w:val="009D6FD5"/>
    <w:rsid w:val="009E1940"/>
    <w:rsid w:val="009E3E56"/>
    <w:rsid w:val="009E5191"/>
    <w:rsid w:val="009E57C9"/>
    <w:rsid w:val="009E5DC6"/>
    <w:rsid w:val="009E6892"/>
    <w:rsid w:val="009E79CC"/>
    <w:rsid w:val="009F068D"/>
    <w:rsid w:val="009F34B6"/>
    <w:rsid w:val="009F5A8B"/>
    <w:rsid w:val="00A01B1B"/>
    <w:rsid w:val="00A03A4B"/>
    <w:rsid w:val="00A10343"/>
    <w:rsid w:val="00A10B09"/>
    <w:rsid w:val="00A17670"/>
    <w:rsid w:val="00A22387"/>
    <w:rsid w:val="00A24AC7"/>
    <w:rsid w:val="00A27F76"/>
    <w:rsid w:val="00A33E94"/>
    <w:rsid w:val="00A3488F"/>
    <w:rsid w:val="00A42821"/>
    <w:rsid w:val="00A51309"/>
    <w:rsid w:val="00A56D48"/>
    <w:rsid w:val="00A602A8"/>
    <w:rsid w:val="00A76447"/>
    <w:rsid w:val="00A808A1"/>
    <w:rsid w:val="00A844FC"/>
    <w:rsid w:val="00A847C7"/>
    <w:rsid w:val="00A855E4"/>
    <w:rsid w:val="00A85B42"/>
    <w:rsid w:val="00A94F4A"/>
    <w:rsid w:val="00AA09A6"/>
    <w:rsid w:val="00AA1EDD"/>
    <w:rsid w:val="00AA6720"/>
    <w:rsid w:val="00AB44A6"/>
    <w:rsid w:val="00AC0623"/>
    <w:rsid w:val="00AC0700"/>
    <w:rsid w:val="00AC56EC"/>
    <w:rsid w:val="00AC785E"/>
    <w:rsid w:val="00AC7B30"/>
    <w:rsid w:val="00AD4A7F"/>
    <w:rsid w:val="00AD791A"/>
    <w:rsid w:val="00AD7FCD"/>
    <w:rsid w:val="00AF4333"/>
    <w:rsid w:val="00B0244B"/>
    <w:rsid w:val="00B03A07"/>
    <w:rsid w:val="00B05BA8"/>
    <w:rsid w:val="00B06306"/>
    <w:rsid w:val="00B065A0"/>
    <w:rsid w:val="00B11A53"/>
    <w:rsid w:val="00B11EA5"/>
    <w:rsid w:val="00B1694C"/>
    <w:rsid w:val="00B2688D"/>
    <w:rsid w:val="00B27920"/>
    <w:rsid w:val="00B329F1"/>
    <w:rsid w:val="00B3497C"/>
    <w:rsid w:val="00B36102"/>
    <w:rsid w:val="00B362CD"/>
    <w:rsid w:val="00B41215"/>
    <w:rsid w:val="00B42BF0"/>
    <w:rsid w:val="00B45693"/>
    <w:rsid w:val="00B527EB"/>
    <w:rsid w:val="00B676EC"/>
    <w:rsid w:val="00B73F34"/>
    <w:rsid w:val="00B7634E"/>
    <w:rsid w:val="00B76606"/>
    <w:rsid w:val="00B767B0"/>
    <w:rsid w:val="00B77C8F"/>
    <w:rsid w:val="00B8175F"/>
    <w:rsid w:val="00B8489A"/>
    <w:rsid w:val="00B85F0A"/>
    <w:rsid w:val="00B9421D"/>
    <w:rsid w:val="00B97B1D"/>
    <w:rsid w:val="00BA6CA7"/>
    <w:rsid w:val="00BB2869"/>
    <w:rsid w:val="00BB322D"/>
    <w:rsid w:val="00BB5D51"/>
    <w:rsid w:val="00BB7218"/>
    <w:rsid w:val="00BB7331"/>
    <w:rsid w:val="00BC1B6C"/>
    <w:rsid w:val="00BC215B"/>
    <w:rsid w:val="00BD5763"/>
    <w:rsid w:val="00BD6A8D"/>
    <w:rsid w:val="00BE3C89"/>
    <w:rsid w:val="00BE5B43"/>
    <w:rsid w:val="00BE77F1"/>
    <w:rsid w:val="00BF0110"/>
    <w:rsid w:val="00BF3F45"/>
    <w:rsid w:val="00BF4E76"/>
    <w:rsid w:val="00BF5E91"/>
    <w:rsid w:val="00C006D4"/>
    <w:rsid w:val="00C10A7B"/>
    <w:rsid w:val="00C16369"/>
    <w:rsid w:val="00C17AAB"/>
    <w:rsid w:val="00C21AFA"/>
    <w:rsid w:val="00C21BB7"/>
    <w:rsid w:val="00C23A4E"/>
    <w:rsid w:val="00C23B68"/>
    <w:rsid w:val="00C26277"/>
    <w:rsid w:val="00C301D7"/>
    <w:rsid w:val="00C30EC1"/>
    <w:rsid w:val="00C345C7"/>
    <w:rsid w:val="00C35D32"/>
    <w:rsid w:val="00C40566"/>
    <w:rsid w:val="00C42F01"/>
    <w:rsid w:val="00C43C91"/>
    <w:rsid w:val="00C4616D"/>
    <w:rsid w:val="00C51F97"/>
    <w:rsid w:val="00C6632D"/>
    <w:rsid w:val="00C7323D"/>
    <w:rsid w:val="00C75A5E"/>
    <w:rsid w:val="00C82960"/>
    <w:rsid w:val="00C834F7"/>
    <w:rsid w:val="00C83B79"/>
    <w:rsid w:val="00C85D1E"/>
    <w:rsid w:val="00C919FB"/>
    <w:rsid w:val="00C97DDC"/>
    <w:rsid w:val="00CA0E3C"/>
    <w:rsid w:val="00CB12DE"/>
    <w:rsid w:val="00CB5C90"/>
    <w:rsid w:val="00CB63EA"/>
    <w:rsid w:val="00CB7C8B"/>
    <w:rsid w:val="00CC1320"/>
    <w:rsid w:val="00CC1377"/>
    <w:rsid w:val="00CC14A8"/>
    <w:rsid w:val="00CC14E3"/>
    <w:rsid w:val="00CC4764"/>
    <w:rsid w:val="00CC52DA"/>
    <w:rsid w:val="00CC557C"/>
    <w:rsid w:val="00CC606E"/>
    <w:rsid w:val="00CC7C33"/>
    <w:rsid w:val="00CD08B8"/>
    <w:rsid w:val="00CD1977"/>
    <w:rsid w:val="00CD34DA"/>
    <w:rsid w:val="00CD37AA"/>
    <w:rsid w:val="00CD733A"/>
    <w:rsid w:val="00CE280A"/>
    <w:rsid w:val="00CE3C6A"/>
    <w:rsid w:val="00CE62DB"/>
    <w:rsid w:val="00CE6E34"/>
    <w:rsid w:val="00CF4E6A"/>
    <w:rsid w:val="00CF665A"/>
    <w:rsid w:val="00CF762D"/>
    <w:rsid w:val="00D02B3D"/>
    <w:rsid w:val="00D041D1"/>
    <w:rsid w:val="00D073DF"/>
    <w:rsid w:val="00D14523"/>
    <w:rsid w:val="00D20213"/>
    <w:rsid w:val="00D27338"/>
    <w:rsid w:val="00D31B85"/>
    <w:rsid w:val="00D31D18"/>
    <w:rsid w:val="00D34309"/>
    <w:rsid w:val="00D35C84"/>
    <w:rsid w:val="00D461C2"/>
    <w:rsid w:val="00D52174"/>
    <w:rsid w:val="00D5316F"/>
    <w:rsid w:val="00D53B5E"/>
    <w:rsid w:val="00D54BF7"/>
    <w:rsid w:val="00D569C9"/>
    <w:rsid w:val="00D66108"/>
    <w:rsid w:val="00D6652A"/>
    <w:rsid w:val="00D70C31"/>
    <w:rsid w:val="00D71292"/>
    <w:rsid w:val="00D74C39"/>
    <w:rsid w:val="00D76842"/>
    <w:rsid w:val="00D871C1"/>
    <w:rsid w:val="00DA0933"/>
    <w:rsid w:val="00DA1106"/>
    <w:rsid w:val="00DA6BBC"/>
    <w:rsid w:val="00DA749E"/>
    <w:rsid w:val="00DB4E28"/>
    <w:rsid w:val="00DC27FE"/>
    <w:rsid w:val="00DC48A5"/>
    <w:rsid w:val="00DC5175"/>
    <w:rsid w:val="00DC558F"/>
    <w:rsid w:val="00DC5F80"/>
    <w:rsid w:val="00DC7FFA"/>
    <w:rsid w:val="00DD2ED8"/>
    <w:rsid w:val="00DD4E3C"/>
    <w:rsid w:val="00DD7B4A"/>
    <w:rsid w:val="00DE5BC1"/>
    <w:rsid w:val="00DE5E3F"/>
    <w:rsid w:val="00DE75E8"/>
    <w:rsid w:val="00DF13F9"/>
    <w:rsid w:val="00DF4420"/>
    <w:rsid w:val="00E0146E"/>
    <w:rsid w:val="00E059DC"/>
    <w:rsid w:val="00E069E1"/>
    <w:rsid w:val="00E10FC2"/>
    <w:rsid w:val="00E11D7C"/>
    <w:rsid w:val="00E11FB1"/>
    <w:rsid w:val="00E167B2"/>
    <w:rsid w:val="00E16F18"/>
    <w:rsid w:val="00E2342C"/>
    <w:rsid w:val="00E23723"/>
    <w:rsid w:val="00E32CBD"/>
    <w:rsid w:val="00E34D61"/>
    <w:rsid w:val="00E35CA8"/>
    <w:rsid w:val="00E364B2"/>
    <w:rsid w:val="00E41813"/>
    <w:rsid w:val="00E432CB"/>
    <w:rsid w:val="00E44D8A"/>
    <w:rsid w:val="00E46EBF"/>
    <w:rsid w:val="00E476DA"/>
    <w:rsid w:val="00E50D9B"/>
    <w:rsid w:val="00E56631"/>
    <w:rsid w:val="00E625D2"/>
    <w:rsid w:val="00E627E4"/>
    <w:rsid w:val="00E648EF"/>
    <w:rsid w:val="00E6504D"/>
    <w:rsid w:val="00E657C1"/>
    <w:rsid w:val="00E74967"/>
    <w:rsid w:val="00E83DD1"/>
    <w:rsid w:val="00E844B5"/>
    <w:rsid w:val="00E85721"/>
    <w:rsid w:val="00E946BD"/>
    <w:rsid w:val="00E9703F"/>
    <w:rsid w:val="00EA1269"/>
    <w:rsid w:val="00EA2548"/>
    <w:rsid w:val="00EA40EB"/>
    <w:rsid w:val="00EB40A9"/>
    <w:rsid w:val="00EB40DF"/>
    <w:rsid w:val="00EB64FD"/>
    <w:rsid w:val="00EB68E1"/>
    <w:rsid w:val="00EB792F"/>
    <w:rsid w:val="00EC04E7"/>
    <w:rsid w:val="00EC1A68"/>
    <w:rsid w:val="00EC20EF"/>
    <w:rsid w:val="00EC3314"/>
    <w:rsid w:val="00EC7C76"/>
    <w:rsid w:val="00ED4E5B"/>
    <w:rsid w:val="00EE2D52"/>
    <w:rsid w:val="00EE3796"/>
    <w:rsid w:val="00EE3F9E"/>
    <w:rsid w:val="00EE6434"/>
    <w:rsid w:val="00EE7745"/>
    <w:rsid w:val="00EF0F59"/>
    <w:rsid w:val="00EF111E"/>
    <w:rsid w:val="00EF148F"/>
    <w:rsid w:val="00EF34EA"/>
    <w:rsid w:val="00EF436C"/>
    <w:rsid w:val="00F008F9"/>
    <w:rsid w:val="00F03886"/>
    <w:rsid w:val="00F05D50"/>
    <w:rsid w:val="00F0791D"/>
    <w:rsid w:val="00F203E1"/>
    <w:rsid w:val="00F22130"/>
    <w:rsid w:val="00F26252"/>
    <w:rsid w:val="00F2673B"/>
    <w:rsid w:val="00F27F3A"/>
    <w:rsid w:val="00F30321"/>
    <w:rsid w:val="00F30B11"/>
    <w:rsid w:val="00F312A2"/>
    <w:rsid w:val="00F32A26"/>
    <w:rsid w:val="00F32AC9"/>
    <w:rsid w:val="00F33738"/>
    <w:rsid w:val="00F33970"/>
    <w:rsid w:val="00F362D1"/>
    <w:rsid w:val="00F44A76"/>
    <w:rsid w:val="00F502D9"/>
    <w:rsid w:val="00F504D1"/>
    <w:rsid w:val="00F537C1"/>
    <w:rsid w:val="00F53FE6"/>
    <w:rsid w:val="00F5447C"/>
    <w:rsid w:val="00F7183C"/>
    <w:rsid w:val="00F7712A"/>
    <w:rsid w:val="00F83D7F"/>
    <w:rsid w:val="00F85381"/>
    <w:rsid w:val="00F9130F"/>
    <w:rsid w:val="00F94D76"/>
    <w:rsid w:val="00F96DEF"/>
    <w:rsid w:val="00FA1058"/>
    <w:rsid w:val="00FA6EBD"/>
    <w:rsid w:val="00FA6F68"/>
    <w:rsid w:val="00FB0FC3"/>
    <w:rsid w:val="00FB7661"/>
    <w:rsid w:val="00FC008D"/>
    <w:rsid w:val="00FC02BC"/>
    <w:rsid w:val="00FC16E6"/>
    <w:rsid w:val="00FC5147"/>
    <w:rsid w:val="00FC7D81"/>
    <w:rsid w:val="00FD386D"/>
    <w:rsid w:val="00FD4807"/>
    <w:rsid w:val="00FD4AFA"/>
    <w:rsid w:val="00FD4BBF"/>
    <w:rsid w:val="00FE0E8A"/>
    <w:rsid w:val="00FE3ADB"/>
    <w:rsid w:val="00FE700D"/>
    <w:rsid w:val="00FF250E"/>
    <w:rsid w:val="00FF31F5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6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A5258"/>
    <w:rPr>
      <w:rFonts w:eastAsia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E51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D81"/>
    <w:rPr>
      <w:vertAlign w:val="superscript"/>
    </w:rPr>
  </w:style>
  <w:style w:type="paragraph" w:customStyle="1" w:styleId="Paragraf">
    <w:name w:val="Paragraf"/>
    <w:basedOn w:val="BodyText"/>
    <w:link w:val="ParagrafChar"/>
    <w:rsid w:val="004F0606"/>
    <w:pPr>
      <w:ind w:firstLine="357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ParagrafChar">
    <w:name w:val="Paragraf Char"/>
    <w:basedOn w:val="BodyTextChar"/>
    <w:link w:val="Paragraf"/>
    <w:rsid w:val="004F06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F0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0606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0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606"/>
    <w:pPr>
      <w:jc w:val="lef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6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992"/>
    <w:pPr>
      <w:jc w:val="both"/>
    </w:pPr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9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21D9D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0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C13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8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F8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8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8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80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80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5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C5F8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5F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8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5F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C5F80"/>
    <w:rPr>
      <w:b/>
      <w:bCs/>
    </w:rPr>
  </w:style>
  <w:style w:type="character" w:styleId="Emphasis">
    <w:name w:val="Emphasis"/>
    <w:uiPriority w:val="20"/>
    <w:qFormat/>
    <w:rsid w:val="00DC5F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5F80"/>
  </w:style>
  <w:style w:type="paragraph" w:styleId="ListParagraph">
    <w:name w:val="List Paragraph"/>
    <w:basedOn w:val="Normal"/>
    <w:uiPriority w:val="34"/>
    <w:qFormat/>
    <w:rsid w:val="00DC5F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5F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C5F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80"/>
    <w:rPr>
      <w:b/>
      <w:bCs/>
      <w:i/>
      <w:iCs/>
    </w:rPr>
  </w:style>
  <w:style w:type="character" w:styleId="SubtleEmphasis">
    <w:name w:val="Subtle Emphasis"/>
    <w:uiPriority w:val="19"/>
    <w:qFormat/>
    <w:rsid w:val="00DC5F80"/>
    <w:rPr>
      <w:i/>
      <w:iCs/>
    </w:rPr>
  </w:style>
  <w:style w:type="character" w:styleId="IntenseEmphasis">
    <w:name w:val="Intense Emphasis"/>
    <w:uiPriority w:val="21"/>
    <w:qFormat/>
    <w:rsid w:val="00DC5F80"/>
    <w:rPr>
      <w:b/>
      <w:bCs/>
    </w:rPr>
  </w:style>
  <w:style w:type="character" w:styleId="SubtleReference">
    <w:name w:val="Subtle Reference"/>
    <w:uiPriority w:val="31"/>
    <w:qFormat/>
    <w:rsid w:val="00DC5F80"/>
    <w:rPr>
      <w:smallCaps/>
    </w:rPr>
  </w:style>
  <w:style w:type="character" w:styleId="IntenseReference">
    <w:name w:val="Intense Reference"/>
    <w:uiPriority w:val="32"/>
    <w:qFormat/>
    <w:rsid w:val="00DC5F80"/>
    <w:rPr>
      <w:smallCaps/>
      <w:spacing w:val="5"/>
      <w:u w:val="single"/>
    </w:rPr>
  </w:style>
  <w:style w:type="character" w:styleId="BookTitle">
    <w:name w:val="Book Title"/>
    <w:uiPriority w:val="33"/>
    <w:qFormat/>
    <w:rsid w:val="00DC5F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5F80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DC5F80"/>
    <w:rPr>
      <w:caps/>
      <w:spacing w:val="1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C5F80"/>
  </w:style>
  <w:style w:type="table" w:customStyle="1" w:styleId="messup">
    <w:name w:val="messup"/>
    <w:basedOn w:val="TableNormal"/>
    <w:uiPriority w:val="99"/>
    <w:rsid w:val="00DC5F80"/>
    <w:pPr>
      <w:jc w:val="center"/>
    </w:pPr>
    <w:rPr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Theme="minorHAnsi" w:hAnsiTheme="minorHAnsi"/>
        <w:b/>
        <w:sz w:val="18"/>
      </w:rPr>
    </w:tblStylePr>
    <w:tblStylePr w:type="lastRow">
      <w:pPr>
        <w:jc w:val="center"/>
      </w:pPr>
      <w:rPr>
        <w:b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1B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4A5258"/>
    <w:rPr>
      <w:rFonts w:eastAsia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E51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D8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D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D81"/>
    <w:rPr>
      <w:vertAlign w:val="superscript"/>
    </w:rPr>
  </w:style>
  <w:style w:type="paragraph" w:customStyle="1" w:styleId="Paragraf">
    <w:name w:val="Paragraf"/>
    <w:basedOn w:val="BodyText"/>
    <w:link w:val="ParagrafChar"/>
    <w:rsid w:val="004F0606"/>
    <w:pPr>
      <w:ind w:firstLine="357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ParagrafChar">
    <w:name w:val="Paragraf Char"/>
    <w:basedOn w:val="BodyTextChar"/>
    <w:link w:val="Paragraf"/>
    <w:rsid w:val="004F06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F0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0606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0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606"/>
    <w:pPr>
      <w:jc w:val="lef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60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992"/>
    <w:pPr>
      <w:jc w:val="both"/>
    </w:pPr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9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21D9D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6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mailto:aleksandra.g.visnjic@gmail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doi.org/10.24867/22BE02Visnjic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bornik fo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18B7BB-FF35-4431-AFE1-C06205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win7Iput</Company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Sonjovski</dc:creator>
  <cp:lastModifiedBy>Sonja T.</cp:lastModifiedBy>
  <cp:revision>8</cp:revision>
  <cp:lastPrinted>2023-01-25T07:27:00Z</cp:lastPrinted>
  <dcterms:created xsi:type="dcterms:W3CDTF">2022-10-21T17:20:00Z</dcterms:created>
  <dcterms:modified xsi:type="dcterms:W3CDTF">2023-03-04T14:05:00Z</dcterms:modified>
</cp:coreProperties>
</file>